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AF" w:rsidRPr="00F562A4" w:rsidRDefault="00EB27AF" w:rsidP="00EB27AF">
      <w:pPr>
        <w:spacing w:line="560" w:lineRule="exact"/>
        <w:rPr>
          <w:rFonts w:ascii="仿宋_GB2312" w:eastAsia="仿宋_GB2312" w:hAnsi="宋体"/>
          <w:b/>
          <w:bCs/>
          <w:color w:val="0D0D0D"/>
          <w:kern w:val="0"/>
          <w:sz w:val="30"/>
          <w:szCs w:val="30"/>
        </w:rPr>
      </w:pPr>
      <w:r w:rsidRPr="00F562A4">
        <w:rPr>
          <w:rFonts w:ascii="仿宋_GB2312" w:eastAsia="仿宋_GB2312" w:hAnsi="宋体" w:hint="eastAsia"/>
          <w:b/>
          <w:bCs/>
          <w:color w:val="0D0D0D"/>
          <w:kern w:val="0"/>
          <w:sz w:val="30"/>
          <w:szCs w:val="30"/>
        </w:rPr>
        <w:t>附件</w:t>
      </w:r>
    </w:p>
    <w:p w:rsidR="00EB27AF" w:rsidRPr="00E62227" w:rsidRDefault="00EB27AF" w:rsidP="00EB27AF">
      <w:pPr>
        <w:spacing w:line="560" w:lineRule="exact"/>
        <w:rPr>
          <w:rFonts w:ascii="仿宋_GB2312" w:eastAsia="仿宋_GB2312" w:hAnsi="宋体"/>
          <w:bCs/>
          <w:color w:val="0D0D0D"/>
          <w:kern w:val="0"/>
          <w:sz w:val="30"/>
          <w:szCs w:val="30"/>
        </w:rPr>
      </w:pPr>
    </w:p>
    <w:p w:rsidR="00EB27AF" w:rsidRPr="00F562A4" w:rsidRDefault="00EB27AF" w:rsidP="00EB27AF">
      <w:pPr>
        <w:spacing w:line="560" w:lineRule="exact"/>
        <w:jc w:val="center"/>
        <w:rPr>
          <w:rFonts w:ascii="方正大标宋简体" w:eastAsia="方正大标宋简体" w:hAnsi="黑体"/>
          <w:sz w:val="42"/>
          <w:szCs w:val="42"/>
        </w:rPr>
      </w:pPr>
      <w:r w:rsidRPr="00F562A4">
        <w:rPr>
          <w:rFonts w:ascii="方正大标宋简体" w:eastAsia="方正大标宋简体" w:hAnsi="黑体" w:hint="eastAsia"/>
          <w:sz w:val="42"/>
          <w:szCs w:val="42"/>
        </w:rPr>
        <w:t>上海证券交易所资产证券化业务指引</w:t>
      </w:r>
    </w:p>
    <w:p w:rsidR="00EB27AF" w:rsidRPr="00BB65BA" w:rsidRDefault="00EB27AF" w:rsidP="00EB27AF">
      <w:pPr>
        <w:spacing w:line="560" w:lineRule="exact"/>
        <w:jc w:val="center"/>
        <w:rPr>
          <w:rFonts w:ascii="黑体" w:eastAsia="黑体" w:hAnsi="黑体"/>
          <w:b/>
          <w:sz w:val="42"/>
          <w:szCs w:val="42"/>
        </w:rPr>
      </w:pPr>
    </w:p>
    <w:p w:rsidR="00EB27AF" w:rsidRPr="003646E1" w:rsidRDefault="00EB27AF" w:rsidP="00EB27AF">
      <w:pPr>
        <w:numPr>
          <w:ilvl w:val="0"/>
          <w:numId w:val="6"/>
        </w:numPr>
        <w:adjustRightInd w:val="0"/>
        <w:snapToGrid w:val="0"/>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总则</w:t>
      </w:r>
    </w:p>
    <w:p w:rsidR="00EB27AF"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sidRPr="005F45F8">
        <w:rPr>
          <w:rFonts w:ascii="仿宋_GB2312" w:eastAsia="仿宋_GB2312" w:hAnsi="宋体" w:hint="eastAsia"/>
          <w:bCs/>
          <w:color w:val="0D0D0D"/>
          <w:kern w:val="0"/>
          <w:sz w:val="30"/>
          <w:szCs w:val="30"/>
        </w:rPr>
        <w:t>为</w:t>
      </w:r>
      <w:r>
        <w:rPr>
          <w:rFonts w:ascii="仿宋_GB2312" w:eastAsia="仿宋_GB2312" w:hAnsi="宋体" w:hint="eastAsia"/>
          <w:bCs/>
          <w:color w:val="0D0D0D"/>
          <w:kern w:val="0"/>
          <w:sz w:val="30"/>
          <w:szCs w:val="30"/>
        </w:rPr>
        <w:t>规范资产证券化业务，维护正常市场秩序和投资者合法权益</w:t>
      </w:r>
      <w:r w:rsidRPr="005F45F8">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根据《证券公司及基金管理公司子公司资产证券化业务管理规定》（</w:t>
      </w:r>
      <w:r w:rsidRPr="00E82550">
        <w:rPr>
          <w:rFonts w:ascii="仿宋_GB2312" w:eastAsia="仿宋_GB2312" w:hAnsi="宋体" w:hint="eastAsia"/>
          <w:bCs/>
          <w:color w:val="0D0D0D"/>
          <w:kern w:val="0"/>
          <w:sz w:val="30"/>
          <w:szCs w:val="30"/>
        </w:rPr>
        <w:t>证监</w:t>
      </w:r>
      <w:r>
        <w:rPr>
          <w:rFonts w:ascii="仿宋_GB2312" w:eastAsia="仿宋_GB2312" w:hAnsi="宋体" w:hint="eastAsia"/>
          <w:bCs/>
          <w:color w:val="0D0D0D"/>
          <w:kern w:val="0"/>
          <w:sz w:val="30"/>
          <w:szCs w:val="30"/>
        </w:rPr>
        <w:t>会公告</w:t>
      </w:r>
      <w:r w:rsidRPr="00E82550">
        <w:rPr>
          <w:rFonts w:ascii="仿宋_GB2312" w:eastAsia="仿宋_GB2312" w:hAnsi="宋体" w:hint="eastAsia"/>
          <w:bCs/>
          <w:color w:val="0D0D0D"/>
          <w:kern w:val="0"/>
          <w:sz w:val="30"/>
          <w:szCs w:val="30"/>
        </w:rPr>
        <w:t>〔201</w:t>
      </w:r>
      <w:r>
        <w:rPr>
          <w:rFonts w:ascii="仿宋_GB2312" w:eastAsia="仿宋_GB2312" w:hAnsi="宋体" w:hint="eastAsia"/>
          <w:bCs/>
          <w:color w:val="0D0D0D"/>
          <w:kern w:val="0"/>
          <w:sz w:val="30"/>
          <w:szCs w:val="30"/>
        </w:rPr>
        <w:t>4</w:t>
      </w:r>
      <w:r w:rsidRPr="00E82550">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49</w:t>
      </w:r>
      <w:r w:rsidRPr="005F45F8">
        <w:rPr>
          <w:rFonts w:ascii="仿宋_GB2312" w:eastAsia="仿宋_GB2312" w:hAnsi="宋体" w:hint="eastAsia"/>
          <w:bCs/>
          <w:color w:val="0D0D0D"/>
          <w:kern w:val="0"/>
          <w:sz w:val="30"/>
          <w:szCs w:val="30"/>
        </w:rPr>
        <w:t>号</w:t>
      </w:r>
      <w:r>
        <w:rPr>
          <w:rFonts w:ascii="仿宋_GB2312" w:eastAsia="仿宋_GB2312" w:hAnsi="宋体" w:hint="eastAsia"/>
          <w:bCs/>
          <w:color w:val="0D0D0D"/>
          <w:kern w:val="0"/>
          <w:sz w:val="30"/>
          <w:szCs w:val="30"/>
        </w:rPr>
        <w:t>，以下简称“</w:t>
      </w:r>
      <w:r w:rsidRPr="00244551">
        <w:rPr>
          <w:rFonts w:ascii="仿宋_GB2312" w:eastAsia="仿宋_GB2312" w:hAnsi="宋体" w:hint="eastAsia"/>
          <w:bCs/>
          <w:color w:val="0D0D0D"/>
          <w:kern w:val="0"/>
          <w:sz w:val="30"/>
          <w:szCs w:val="30"/>
        </w:rPr>
        <w:t>《管理规定》</w:t>
      </w:r>
      <w:r>
        <w:rPr>
          <w:rFonts w:ascii="仿宋_GB2312" w:eastAsia="仿宋_GB2312" w:hAnsi="宋体" w:hint="eastAsia"/>
          <w:bCs/>
          <w:color w:val="0D0D0D"/>
          <w:kern w:val="0"/>
          <w:sz w:val="30"/>
          <w:szCs w:val="30"/>
        </w:rPr>
        <w:t>”</w:t>
      </w:r>
      <w:r w:rsidRPr="005F45F8">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w:t>
      </w:r>
      <w:r w:rsidRPr="00F562A1">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证券公司及基金管理公司子公司资产证券化业务信息披露指引</w:t>
      </w:r>
      <w:r w:rsidRPr="00F562A1">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（以下简称“《信息披露指引</w:t>
      </w:r>
      <w:r w:rsidRPr="00E82550">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w:t>
      </w:r>
      <w:r w:rsidRPr="006504DA">
        <w:rPr>
          <w:rFonts w:ascii="仿宋_GB2312" w:eastAsia="仿宋_GB2312" w:hAnsi="宋体" w:hint="eastAsia"/>
          <w:bCs/>
          <w:color w:val="0D0D0D"/>
          <w:kern w:val="0"/>
          <w:sz w:val="30"/>
          <w:szCs w:val="30"/>
        </w:rPr>
        <w:t>《证券公司及基金管理公司子公司资产证券化业务尽职调查工作指引》</w:t>
      </w:r>
      <w:r>
        <w:rPr>
          <w:rFonts w:ascii="仿宋_GB2312" w:eastAsia="仿宋_GB2312" w:hAnsi="宋体" w:hint="eastAsia"/>
          <w:bCs/>
          <w:color w:val="0D0D0D"/>
          <w:kern w:val="0"/>
          <w:sz w:val="30"/>
          <w:szCs w:val="30"/>
        </w:rPr>
        <w:t>以及上海证券交易所（以下简称“本所”）相关业务规则，制定本指引。</w:t>
      </w:r>
    </w:p>
    <w:p w:rsidR="00EB27AF"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具备客户资产管理业务资格的证券公司、证券投资基金管理公司设立且具备特定客户资产管理业务资格的子公司担任管理人，通过设立资产支持专项计划（以下简称“专项计划”）等特殊目的载体开展资产证券化业务，并申请资产支持证券在本所挂牌转让的，适用本指引。</w:t>
      </w:r>
    </w:p>
    <w:p w:rsidR="00EB27AF"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本所为资产支持证券的转让和信息披露提供服务，并实施自律管理。</w:t>
      </w:r>
    </w:p>
    <w:p w:rsidR="00EB27AF"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sidRPr="00E82550">
        <w:rPr>
          <w:rFonts w:ascii="仿宋_GB2312" w:eastAsia="仿宋_GB2312" w:hAnsi="宋体" w:hint="eastAsia"/>
          <w:bCs/>
          <w:color w:val="0D0D0D"/>
          <w:kern w:val="0"/>
          <w:sz w:val="30"/>
          <w:szCs w:val="30"/>
        </w:rPr>
        <w:t>本所为资产支持证券</w:t>
      </w:r>
      <w:r>
        <w:rPr>
          <w:rFonts w:ascii="仿宋_GB2312" w:eastAsia="仿宋_GB2312" w:hAnsi="宋体" w:hint="eastAsia"/>
          <w:bCs/>
          <w:color w:val="0D0D0D"/>
          <w:kern w:val="0"/>
          <w:sz w:val="30"/>
          <w:szCs w:val="30"/>
        </w:rPr>
        <w:t>的转让和信息披露提供</w:t>
      </w:r>
      <w:r w:rsidRPr="00E82550">
        <w:rPr>
          <w:rFonts w:ascii="仿宋_GB2312" w:eastAsia="仿宋_GB2312" w:hAnsi="宋体" w:hint="eastAsia"/>
          <w:bCs/>
          <w:color w:val="0D0D0D"/>
          <w:kern w:val="0"/>
          <w:sz w:val="30"/>
          <w:szCs w:val="30"/>
        </w:rPr>
        <w:t>服务，不表明本所对资产支持证券的投资风险或收益等作出判断或保证。资产支持证券的投资风险由投资者自行判断和承担。</w:t>
      </w:r>
    </w:p>
    <w:p w:rsidR="00EB27AF" w:rsidRPr="00E2791D"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管理人申请资产支持证券在本所挂牌转让的，应当</w:t>
      </w:r>
      <w:r>
        <w:rPr>
          <w:rFonts w:ascii="仿宋_GB2312" w:eastAsia="仿宋_GB2312" w:hAnsi="宋体" w:hint="eastAsia"/>
          <w:bCs/>
          <w:color w:val="0D0D0D"/>
          <w:kern w:val="0"/>
          <w:sz w:val="30"/>
          <w:szCs w:val="30"/>
        </w:rPr>
        <w:lastRenderedPageBreak/>
        <w:t>根据</w:t>
      </w:r>
      <w:r w:rsidRPr="00AD1D4D">
        <w:rPr>
          <w:rFonts w:ascii="仿宋_GB2312" w:eastAsia="仿宋_GB2312" w:hAnsi="宋体" w:hint="eastAsia"/>
          <w:bCs/>
          <w:color w:val="0D0D0D"/>
          <w:kern w:val="0"/>
          <w:sz w:val="30"/>
          <w:szCs w:val="30"/>
        </w:rPr>
        <w:t>本</w:t>
      </w:r>
      <w:r>
        <w:rPr>
          <w:rFonts w:ascii="仿宋_GB2312" w:eastAsia="仿宋_GB2312" w:hAnsi="宋体" w:hint="eastAsia"/>
          <w:bCs/>
          <w:color w:val="0D0D0D"/>
          <w:kern w:val="0"/>
          <w:sz w:val="30"/>
          <w:szCs w:val="30"/>
        </w:rPr>
        <w:t>指引的要求，对资产证券化业务开展过程中存在的风险进行识别、评估及</w:t>
      </w:r>
      <w:r w:rsidRPr="00AD1D4D">
        <w:rPr>
          <w:rFonts w:ascii="仿宋_GB2312" w:eastAsia="仿宋_GB2312" w:hAnsi="宋体" w:hint="eastAsia"/>
          <w:bCs/>
          <w:color w:val="0D0D0D"/>
          <w:kern w:val="0"/>
          <w:sz w:val="30"/>
          <w:szCs w:val="30"/>
        </w:rPr>
        <w:t>管理，制定</w:t>
      </w:r>
      <w:r>
        <w:rPr>
          <w:rFonts w:ascii="仿宋_GB2312" w:eastAsia="仿宋_GB2312" w:hAnsi="宋体" w:hint="eastAsia"/>
          <w:bCs/>
          <w:color w:val="0D0D0D"/>
          <w:kern w:val="0"/>
          <w:sz w:val="30"/>
          <w:szCs w:val="30"/>
        </w:rPr>
        <w:t>和执行</w:t>
      </w:r>
      <w:r w:rsidRPr="00AD1D4D">
        <w:rPr>
          <w:rFonts w:ascii="仿宋_GB2312" w:eastAsia="仿宋_GB2312" w:hAnsi="宋体" w:hint="eastAsia"/>
          <w:bCs/>
          <w:color w:val="0D0D0D"/>
          <w:kern w:val="0"/>
          <w:sz w:val="30"/>
          <w:szCs w:val="30"/>
        </w:rPr>
        <w:t>风险控制措施</w:t>
      </w:r>
      <w:r>
        <w:rPr>
          <w:rFonts w:ascii="仿宋_GB2312" w:eastAsia="仿宋_GB2312" w:hAnsi="宋体" w:hint="eastAsia"/>
          <w:bCs/>
          <w:color w:val="0D0D0D"/>
          <w:kern w:val="0"/>
          <w:sz w:val="30"/>
          <w:szCs w:val="30"/>
        </w:rPr>
        <w:t>，并协调和</w:t>
      </w:r>
      <w:r w:rsidRPr="00AD1D4D">
        <w:rPr>
          <w:rFonts w:ascii="仿宋_GB2312" w:eastAsia="仿宋_GB2312" w:hAnsi="宋体" w:hint="eastAsia"/>
          <w:bCs/>
          <w:color w:val="0D0D0D"/>
          <w:kern w:val="0"/>
          <w:sz w:val="30"/>
          <w:szCs w:val="30"/>
        </w:rPr>
        <w:t>督促其他参与主体履行相关责任。</w:t>
      </w:r>
    </w:p>
    <w:p w:rsidR="00EB27AF" w:rsidRPr="00E2791D"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w:t>
      </w:r>
      <w:r w:rsidRPr="009274BA">
        <w:rPr>
          <w:rFonts w:ascii="仿宋_GB2312" w:eastAsia="仿宋_GB2312" w:hAnsi="宋体" w:hint="eastAsia"/>
          <w:bCs/>
          <w:color w:val="0D0D0D"/>
          <w:kern w:val="0"/>
          <w:sz w:val="30"/>
          <w:szCs w:val="30"/>
        </w:rPr>
        <w:t>申请资产支持证券在本所挂牌转让的，</w:t>
      </w:r>
      <w:r>
        <w:rPr>
          <w:rFonts w:ascii="仿宋_GB2312" w:eastAsia="仿宋_GB2312" w:hAnsi="宋体" w:hint="eastAsia"/>
          <w:bCs/>
          <w:color w:val="0D0D0D"/>
          <w:kern w:val="0"/>
          <w:sz w:val="30"/>
          <w:szCs w:val="30"/>
        </w:rPr>
        <w:t>应当向具备相应风险识别和承担能力</w:t>
      </w:r>
      <w:r w:rsidRPr="009274BA">
        <w:rPr>
          <w:rFonts w:ascii="仿宋_GB2312" w:eastAsia="仿宋_GB2312" w:hAnsi="宋体" w:hint="eastAsia"/>
          <w:bCs/>
          <w:color w:val="0D0D0D"/>
          <w:kern w:val="0"/>
          <w:sz w:val="30"/>
          <w:szCs w:val="30"/>
        </w:rPr>
        <w:t>且符合本所投资者适当性管理规定</w:t>
      </w:r>
      <w:r>
        <w:rPr>
          <w:rFonts w:ascii="仿宋_GB2312" w:eastAsia="仿宋_GB2312" w:hAnsi="宋体" w:hint="eastAsia"/>
          <w:bCs/>
          <w:color w:val="0D0D0D"/>
          <w:kern w:val="0"/>
          <w:sz w:val="30"/>
          <w:szCs w:val="30"/>
        </w:rPr>
        <w:t>的合格投资者发行资产支持证券。</w:t>
      </w:r>
      <w:r w:rsidRPr="00785A59">
        <w:rPr>
          <w:rFonts w:ascii="仿宋_GB2312" w:eastAsia="仿宋_GB2312" w:hAnsi="宋体" w:hint="eastAsia"/>
          <w:bCs/>
          <w:color w:val="0D0D0D"/>
          <w:kern w:val="0"/>
          <w:sz w:val="30"/>
          <w:szCs w:val="30"/>
        </w:rPr>
        <w:t>每期资产支持证券的投资者合计不得超过</w:t>
      </w:r>
      <w:r>
        <w:rPr>
          <w:rFonts w:ascii="仿宋_GB2312" w:eastAsia="仿宋_GB2312" w:hAnsi="宋体" w:hint="eastAsia"/>
          <w:bCs/>
          <w:color w:val="0D0D0D"/>
          <w:kern w:val="0"/>
          <w:sz w:val="30"/>
          <w:szCs w:val="30"/>
        </w:rPr>
        <w:t>200</w:t>
      </w:r>
      <w:r w:rsidRPr="00785A59">
        <w:rPr>
          <w:rFonts w:ascii="仿宋_GB2312" w:eastAsia="仿宋_GB2312" w:hAnsi="宋体" w:hint="eastAsia"/>
          <w:bCs/>
          <w:color w:val="0D0D0D"/>
          <w:kern w:val="0"/>
          <w:sz w:val="30"/>
          <w:szCs w:val="30"/>
        </w:rPr>
        <w:t>人。</w:t>
      </w:r>
    </w:p>
    <w:p w:rsidR="00EB27AF" w:rsidRDefault="00EB27AF" w:rsidP="00EB27AF">
      <w:pPr>
        <w:numPr>
          <w:ilvl w:val="0"/>
          <w:numId w:val="1"/>
        </w:numPr>
        <w:adjustRightInd w:val="0"/>
        <w:snapToGrid w:val="0"/>
        <w:spacing w:line="560" w:lineRule="exact"/>
        <w:ind w:left="0" w:firstLine="60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原始权益人、管理人、证券服务机构及相关人员在资产支持证券发行过程中，不得有违反公平竞争、进行利益输送、直接或间接谋取不正当利益以及其他破坏市场秩序的行为。</w:t>
      </w:r>
    </w:p>
    <w:p w:rsidR="00EB27AF" w:rsidRPr="00B37E09" w:rsidRDefault="00EB27AF" w:rsidP="00EB27AF">
      <w:pPr>
        <w:numPr>
          <w:ilvl w:val="0"/>
          <w:numId w:val="1"/>
        </w:numPr>
        <w:adjustRightInd w:val="0"/>
        <w:snapToGrid w:val="0"/>
        <w:spacing w:line="560" w:lineRule="exact"/>
        <w:ind w:left="0" w:firstLine="567"/>
        <w:rPr>
          <w:rFonts w:ascii="仿宋_GB2312" w:eastAsia="仿宋_GB2312" w:hAnsi="宋体"/>
          <w:bCs/>
          <w:color w:val="0D0D0D"/>
          <w:kern w:val="0"/>
          <w:sz w:val="30"/>
          <w:szCs w:val="30"/>
        </w:rPr>
      </w:pPr>
      <w:r w:rsidRPr="00B37E09">
        <w:rPr>
          <w:rFonts w:ascii="仿宋_GB2312" w:eastAsia="仿宋_GB2312" w:hAnsi="宋体" w:hint="eastAsia"/>
          <w:bCs/>
          <w:color w:val="0D0D0D"/>
          <w:kern w:val="0"/>
          <w:sz w:val="30"/>
          <w:szCs w:val="30"/>
        </w:rPr>
        <w:t>资产支持证券的登记和结算，由登记结算机构按照其业务规则办理。</w:t>
      </w:r>
    </w:p>
    <w:p w:rsidR="00EB27AF" w:rsidRPr="003646E1" w:rsidRDefault="00EB27AF" w:rsidP="00EB27AF">
      <w:pPr>
        <w:adjustRightInd w:val="0"/>
        <w:snapToGrid w:val="0"/>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第二章 挂牌申请</w:t>
      </w:r>
    </w:p>
    <w:p w:rsidR="00EB27AF" w:rsidRDefault="00EB27AF" w:rsidP="00EB27AF">
      <w:pPr>
        <w:numPr>
          <w:ilvl w:val="0"/>
          <w:numId w:val="1"/>
        </w:numPr>
        <w:spacing w:line="560" w:lineRule="exact"/>
        <w:ind w:left="0" w:firstLine="600"/>
        <w:rPr>
          <w:rFonts w:ascii="仿宋_GB2312" w:eastAsia="仿宋_GB2312" w:hAnsi="宋体"/>
          <w:bCs/>
          <w:color w:val="0D0D0D"/>
          <w:kern w:val="0"/>
          <w:sz w:val="30"/>
          <w:szCs w:val="30"/>
        </w:rPr>
      </w:pPr>
      <w:r w:rsidRPr="00C453E7">
        <w:rPr>
          <w:rFonts w:ascii="仿宋_GB2312" w:eastAsia="仿宋_GB2312" w:hAnsi="宋体" w:hint="eastAsia"/>
          <w:bCs/>
          <w:color w:val="0D0D0D"/>
          <w:kern w:val="0"/>
          <w:sz w:val="30"/>
          <w:szCs w:val="30"/>
        </w:rPr>
        <w:t>资产支持证券在本所挂牌转让的，应当符合以下条件：</w:t>
      </w:r>
    </w:p>
    <w:p w:rsidR="00EB27AF" w:rsidRDefault="00EB27AF" w:rsidP="00EB27AF">
      <w:pPr>
        <w:numPr>
          <w:ilvl w:val="0"/>
          <w:numId w:val="2"/>
        </w:numPr>
        <w:spacing w:line="560" w:lineRule="exact"/>
        <w:ind w:left="0" w:firstLine="600"/>
        <w:rPr>
          <w:rFonts w:ascii="仿宋_GB2312" w:eastAsia="仿宋_GB2312" w:hAnsi="宋体"/>
          <w:bCs/>
          <w:color w:val="0D0D0D"/>
          <w:kern w:val="0"/>
          <w:sz w:val="30"/>
          <w:szCs w:val="30"/>
        </w:rPr>
      </w:pPr>
      <w:r w:rsidRPr="00C453E7">
        <w:rPr>
          <w:rFonts w:ascii="仿宋_GB2312" w:eastAsia="仿宋_GB2312" w:hAnsi="宋体" w:hint="eastAsia"/>
          <w:bCs/>
          <w:color w:val="0D0D0D"/>
          <w:kern w:val="0"/>
          <w:sz w:val="30"/>
          <w:szCs w:val="30"/>
        </w:rPr>
        <w:t>基础资产符合相关法律法规</w:t>
      </w:r>
      <w:r>
        <w:rPr>
          <w:rFonts w:ascii="仿宋_GB2312" w:eastAsia="仿宋_GB2312" w:hAnsi="宋体" w:hint="eastAsia"/>
          <w:bCs/>
          <w:color w:val="0D0D0D"/>
          <w:kern w:val="0"/>
          <w:sz w:val="30"/>
          <w:szCs w:val="30"/>
        </w:rPr>
        <w:t>的规定</w:t>
      </w:r>
      <w:r w:rsidRPr="00C453E7">
        <w:rPr>
          <w:rFonts w:ascii="仿宋_GB2312" w:eastAsia="仿宋_GB2312" w:hAnsi="宋体" w:hint="eastAsia"/>
          <w:bCs/>
          <w:color w:val="0D0D0D"/>
          <w:kern w:val="0"/>
          <w:sz w:val="30"/>
          <w:szCs w:val="30"/>
        </w:rPr>
        <w:t>，权属明确，可以产生独立、可预测的现金流</w:t>
      </w:r>
      <w:r>
        <w:rPr>
          <w:rFonts w:ascii="仿宋_GB2312" w:eastAsia="仿宋_GB2312" w:hAnsi="宋体" w:hint="eastAsia"/>
          <w:bCs/>
          <w:color w:val="0D0D0D"/>
          <w:kern w:val="0"/>
          <w:sz w:val="30"/>
          <w:szCs w:val="30"/>
        </w:rPr>
        <w:t>；</w:t>
      </w:r>
    </w:p>
    <w:p w:rsidR="00EB27AF" w:rsidRDefault="00EB27AF" w:rsidP="00EB27AF">
      <w:pPr>
        <w:numPr>
          <w:ilvl w:val="0"/>
          <w:numId w:val="2"/>
        </w:numPr>
        <w:spacing w:line="560" w:lineRule="exac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资产支持证券的交易结构</w:t>
      </w:r>
      <w:r>
        <w:rPr>
          <w:rFonts w:ascii="仿宋_GB2312" w:eastAsia="仿宋_GB2312" w:hint="eastAsia"/>
          <w:color w:val="000000"/>
          <w:sz w:val="30"/>
          <w:szCs w:val="30"/>
        </w:rPr>
        <w:t>设置合理</w:t>
      </w:r>
      <w:r>
        <w:rPr>
          <w:rFonts w:ascii="仿宋_GB2312" w:eastAsia="仿宋_GB2312" w:hAnsi="宋体" w:hint="eastAsia"/>
          <w:bCs/>
          <w:color w:val="0D0D0D"/>
          <w:kern w:val="0"/>
          <w:sz w:val="30"/>
          <w:szCs w:val="30"/>
        </w:rPr>
        <w:t>；</w:t>
      </w:r>
    </w:p>
    <w:p w:rsidR="00EB27AF" w:rsidRDefault="00EB27AF" w:rsidP="00EB27AF">
      <w:pPr>
        <w:numPr>
          <w:ilvl w:val="0"/>
          <w:numId w:val="2"/>
        </w:numPr>
        <w:adjustRightInd w:val="0"/>
        <w:snapToGrid w:val="0"/>
        <w:spacing w:line="560" w:lineRule="exact"/>
        <w:ind w:left="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资产支持证券已经发行完毕并且按照相关规定完成备案；</w:t>
      </w:r>
    </w:p>
    <w:p w:rsidR="00EB27AF" w:rsidRDefault="00EB27AF" w:rsidP="00EB27AF">
      <w:pPr>
        <w:numPr>
          <w:ilvl w:val="0"/>
          <w:numId w:val="2"/>
        </w:numPr>
        <w:adjustRightInd w:val="0"/>
        <w:snapToGrid w:val="0"/>
        <w:spacing w:line="560" w:lineRule="exact"/>
        <w:ind w:left="0" w:firstLine="600"/>
        <w:rPr>
          <w:rFonts w:ascii="仿宋_GB2312" w:eastAsia="仿宋_GB2312" w:hAnsi="宋体"/>
          <w:bCs/>
          <w:color w:val="0D0D0D"/>
          <w:kern w:val="0"/>
          <w:sz w:val="30"/>
          <w:szCs w:val="30"/>
        </w:rPr>
      </w:pPr>
      <w:r w:rsidRPr="00C453E7">
        <w:rPr>
          <w:rFonts w:ascii="仿宋_GB2312" w:eastAsia="仿宋_GB2312" w:hAnsi="宋体" w:hint="eastAsia"/>
          <w:bCs/>
          <w:color w:val="0D0D0D"/>
          <w:kern w:val="0"/>
          <w:sz w:val="30"/>
          <w:szCs w:val="30"/>
        </w:rPr>
        <w:t>资产支持证券</w:t>
      </w:r>
      <w:r>
        <w:rPr>
          <w:rFonts w:ascii="仿宋_GB2312" w:eastAsia="仿宋_GB2312" w:hAnsi="宋体" w:hint="eastAsia"/>
          <w:bCs/>
          <w:color w:val="0D0D0D"/>
          <w:kern w:val="0"/>
          <w:sz w:val="30"/>
          <w:szCs w:val="30"/>
        </w:rPr>
        <w:t>的投资者</w:t>
      </w:r>
      <w:r w:rsidRPr="00C453E7">
        <w:rPr>
          <w:rFonts w:ascii="仿宋_GB2312" w:eastAsia="仿宋_GB2312" w:hAnsi="宋体" w:hint="eastAsia"/>
          <w:bCs/>
          <w:color w:val="0D0D0D"/>
          <w:kern w:val="0"/>
          <w:sz w:val="30"/>
          <w:szCs w:val="30"/>
        </w:rPr>
        <w:t>符合本所投资者适当性管理的相关规定</w:t>
      </w:r>
      <w:r>
        <w:rPr>
          <w:rFonts w:ascii="仿宋_GB2312" w:eastAsia="仿宋_GB2312" w:hAnsi="宋体" w:hint="eastAsia"/>
          <w:bCs/>
          <w:color w:val="0D0D0D"/>
          <w:kern w:val="0"/>
          <w:sz w:val="30"/>
          <w:szCs w:val="30"/>
        </w:rPr>
        <w:t>；</w:t>
      </w:r>
    </w:p>
    <w:p w:rsidR="00EB27AF" w:rsidRDefault="00EB27AF" w:rsidP="00EB27AF">
      <w:pPr>
        <w:numPr>
          <w:ilvl w:val="0"/>
          <w:numId w:val="2"/>
        </w:numPr>
        <w:adjustRightInd w:val="0"/>
        <w:snapToGrid w:val="0"/>
        <w:spacing w:line="560" w:lineRule="exact"/>
        <w:ind w:left="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资产支持证券采取的风险控制措施符合本指引要求；</w:t>
      </w:r>
    </w:p>
    <w:p w:rsidR="00EB27AF" w:rsidRDefault="00EB27AF" w:rsidP="00EB27AF">
      <w:pPr>
        <w:adjustRightInd w:val="0"/>
        <w:snapToGrid w:val="0"/>
        <w:spacing w:line="560" w:lineRule="exact"/>
        <w:ind w:left="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（六）本所规定的其他条件。</w:t>
      </w:r>
    </w:p>
    <w:p w:rsidR="00EB27AF" w:rsidRDefault="00EB27AF" w:rsidP="00EB27AF">
      <w:pPr>
        <w:numPr>
          <w:ilvl w:val="0"/>
          <w:numId w:val="1"/>
        </w:numPr>
        <w:adjustRightInd w:val="0"/>
        <w:snapToGrid w:val="0"/>
        <w:spacing w:line="560" w:lineRule="exact"/>
        <w:ind w:left="0" w:firstLine="600"/>
        <w:rPr>
          <w:rFonts w:ascii="仿宋_GB2312" w:eastAsia="仿宋_GB2312" w:hAnsi="宋体"/>
          <w:bCs/>
          <w:color w:val="0D0D0D"/>
          <w:kern w:val="0"/>
          <w:sz w:val="30"/>
          <w:szCs w:val="30"/>
        </w:rPr>
      </w:pPr>
      <w:r w:rsidRPr="00E82550">
        <w:rPr>
          <w:rFonts w:ascii="仿宋_GB2312" w:eastAsia="仿宋_GB2312" w:hAnsi="宋体" w:hint="eastAsia"/>
          <w:bCs/>
          <w:color w:val="0D0D0D"/>
          <w:kern w:val="0"/>
          <w:sz w:val="30"/>
          <w:szCs w:val="30"/>
        </w:rPr>
        <w:lastRenderedPageBreak/>
        <w:t>资产支持证券</w:t>
      </w:r>
      <w:r>
        <w:rPr>
          <w:rFonts w:ascii="仿宋_GB2312" w:eastAsia="仿宋_GB2312" w:hAnsi="宋体" w:hint="eastAsia"/>
          <w:bCs/>
          <w:color w:val="0D0D0D"/>
          <w:kern w:val="0"/>
          <w:sz w:val="30"/>
          <w:szCs w:val="30"/>
        </w:rPr>
        <w:t>拟在</w:t>
      </w:r>
      <w:r w:rsidRPr="00E82550">
        <w:rPr>
          <w:rFonts w:ascii="仿宋_GB2312" w:eastAsia="仿宋_GB2312" w:hAnsi="宋体" w:hint="eastAsia"/>
          <w:bCs/>
          <w:color w:val="0D0D0D"/>
          <w:kern w:val="0"/>
          <w:sz w:val="30"/>
          <w:szCs w:val="30"/>
        </w:rPr>
        <w:t>本所</w:t>
      </w:r>
      <w:r>
        <w:rPr>
          <w:rFonts w:ascii="仿宋_GB2312" w:eastAsia="仿宋_GB2312" w:hAnsi="宋体" w:hint="eastAsia"/>
          <w:bCs/>
          <w:color w:val="0D0D0D"/>
          <w:kern w:val="0"/>
          <w:sz w:val="30"/>
          <w:szCs w:val="30"/>
        </w:rPr>
        <w:t>挂牌转让的</w:t>
      </w:r>
      <w:r w:rsidRPr="00E82550">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管理人</w:t>
      </w:r>
      <w:r w:rsidRPr="00E82550">
        <w:rPr>
          <w:rFonts w:ascii="仿宋_GB2312" w:eastAsia="仿宋_GB2312" w:hAnsi="宋体" w:hint="eastAsia"/>
          <w:bCs/>
          <w:color w:val="0D0D0D"/>
          <w:kern w:val="0"/>
          <w:sz w:val="30"/>
          <w:szCs w:val="30"/>
        </w:rPr>
        <w:t>应当</w:t>
      </w:r>
      <w:r>
        <w:rPr>
          <w:rFonts w:ascii="仿宋_GB2312" w:eastAsia="仿宋_GB2312" w:hAnsi="宋体" w:hint="eastAsia"/>
          <w:bCs/>
          <w:color w:val="0D0D0D"/>
          <w:kern w:val="0"/>
          <w:sz w:val="30"/>
          <w:szCs w:val="30"/>
        </w:rPr>
        <w:t>在资产支持证券发行前向本所申请确认是否符合挂牌转让条件，并向本所提交转让申请书、专项计划的拟备案文件及本所要求的其他材料。</w:t>
      </w:r>
    </w:p>
    <w:p w:rsidR="00EB27AF" w:rsidRPr="00CA036C"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本所与专项计划备案机构建立挂牌转让与备案的沟通衔接机制，并建立与中国证监会、相关自律组织之间的信息共享机制。</w:t>
      </w:r>
    </w:p>
    <w:p w:rsidR="00EB27AF" w:rsidRDefault="00EB27AF" w:rsidP="00EB27AF">
      <w:pPr>
        <w:numPr>
          <w:ilvl w:val="0"/>
          <w:numId w:val="1"/>
        </w:numPr>
        <w:adjustRightInd w:val="0"/>
        <w:snapToGrid w:val="0"/>
        <w:spacing w:line="560" w:lineRule="exact"/>
        <w:ind w:left="0" w:firstLine="426"/>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专项计划备案后，管理人申请资产支持证券在本所挂牌转让时，应当提交以下材料，并在挂牌转让前与本所签订转让</w:t>
      </w:r>
      <w:r w:rsidRPr="00E82550">
        <w:rPr>
          <w:rFonts w:ascii="仿宋_GB2312" w:eastAsia="仿宋_GB2312" w:hAnsi="宋体" w:hint="eastAsia"/>
          <w:bCs/>
          <w:color w:val="0D0D0D"/>
          <w:kern w:val="0"/>
          <w:sz w:val="30"/>
          <w:szCs w:val="30"/>
        </w:rPr>
        <w:t>服务协议</w:t>
      </w:r>
      <w:r>
        <w:rPr>
          <w:rFonts w:ascii="仿宋_GB2312" w:eastAsia="仿宋_GB2312" w:hAnsi="宋体" w:hint="eastAsia"/>
          <w:bCs/>
          <w:color w:val="0D0D0D"/>
          <w:kern w:val="0"/>
          <w:sz w:val="30"/>
          <w:szCs w:val="30"/>
        </w:rPr>
        <w:t>：</w:t>
      </w:r>
    </w:p>
    <w:p w:rsidR="00EB27AF"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（一） 专项计划完成备案的证明文件；</w:t>
      </w:r>
    </w:p>
    <w:p w:rsidR="00EB27AF"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（二） 计划说明书、主要交易合同文本、相关决议和承诺以及证券服务机构出具的意见或报告等资产支持证券发行文件；</w:t>
      </w:r>
    </w:p>
    <w:p w:rsidR="00EB27AF"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（三） 特定原始权益人最近3年（未满3年的自成立之日起）经审计的财务会计报告及融资情况说明；</w:t>
      </w:r>
    </w:p>
    <w:p w:rsidR="00EB27AF"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（四） 资产支持证券实际募集数额的文件；</w:t>
      </w:r>
    </w:p>
    <w:p w:rsidR="00EB27AF" w:rsidRDefault="00EB27AF" w:rsidP="00EB27AF">
      <w:pPr>
        <w:adjustRightInd w:val="0"/>
        <w:snapToGrid w:val="0"/>
        <w:spacing w:line="560" w:lineRule="exact"/>
        <w:ind w:firstLineChars="250" w:firstLine="75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 xml:space="preserve">(五)  </w:t>
      </w:r>
      <w:r w:rsidRPr="00E82550">
        <w:rPr>
          <w:rFonts w:ascii="仿宋_GB2312" w:eastAsia="仿宋_GB2312" w:hAnsi="宋体" w:hint="eastAsia"/>
          <w:bCs/>
          <w:color w:val="0D0D0D"/>
          <w:kern w:val="0"/>
          <w:sz w:val="30"/>
          <w:szCs w:val="30"/>
        </w:rPr>
        <w:t>资产支持证券</w:t>
      </w:r>
      <w:r>
        <w:rPr>
          <w:rFonts w:ascii="仿宋_GB2312" w:eastAsia="仿宋_GB2312" w:hAnsi="宋体" w:hint="eastAsia"/>
          <w:bCs/>
          <w:color w:val="0D0D0D"/>
          <w:kern w:val="0"/>
          <w:sz w:val="30"/>
          <w:szCs w:val="30"/>
        </w:rPr>
        <w:t>的</w:t>
      </w:r>
      <w:r w:rsidRPr="00E82550">
        <w:rPr>
          <w:rFonts w:ascii="仿宋_GB2312" w:eastAsia="仿宋_GB2312" w:hAnsi="宋体" w:hint="eastAsia"/>
          <w:bCs/>
          <w:color w:val="0D0D0D"/>
          <w:kern w:val="0"/>
          <w:sz w:val="30"/>
          <w:szCs w:val="30"/>
        </w:rPr>
        <w:t>登记托管文件；</w:t>
      </w:r>
    </w:p>
    <w:p w:rsidR="00EB27AF"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（六） 专项计划</w:t>
      </w:r>
      <w:r w:rsidRPr="004463DF">
        <w:rPr>
          <w:rFonts w:ascii="仿宋_GB2312" w:eastAsia="仿宋_GB2312" w:hAnsi="宋体" w:hint="eastAsia"/>
          <w:bCs/>
          <w:color w:val="0D0D0D"/>
          <w:kern w:val="0"/>
          <w:sz w:val="30"/>
          <w:szCs w:val="30"/>
        </w:rPr>
        <w:t>是否发生重大变化的说明；</w:t>
      </w:r>
    </w:p>
    <w:p w:rsidR="00EB27AF" w:rsidRDefault="00EB27AF" w:rsidP="00EB27AF">
      <w:pPr>
        <w:adjustRightInd w:val="0"/>
        <w:snapToGrid w:val="0"/>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（七）</w:t>
      </w:r>
      <w:r w:rsidRPr="00F45128">
        <w:rPr>
          <w:rFonts w:ascii="仿宋_GB2312" w:eastAsia="仿宋_GB2312" w:hAnsi="宋体" w:hint="eastAsia"/>
          <w:bCs/>
          <w:color w:val="0D0D0D"/>
          <w:kern w:val="0"/>
          <w:sz w:val="30"/>
          <w:szCs w:val="30"/>
        </w:rPr>
        <w:t>本所要求的其他材料。</w:t>
      </w:r>
    </w:p>
    <w:p w:rsidR="00EB27AF" w:rsidRDefault="00EB27AF" w:rsidP="00EB27AF">
      <w:pPr>
        <w:numPr>
          <w:ilvl w:val="0"/>
          <w:numId w:val="1"/>
        </w:numPr>
        <w:adjustRightInd w:val="0"/>
        <w:snapToGrid w:val="0"/>
        <w:spacing w:line="560" w:lineRule="exact"/>
        <w:ind w:left="0" w:firstLine="709"/>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本所对挂牌申请材料进行完备性核对。挂牌申请材料完备的，本所自接受挂牌申请材料之日起五个交易日内，出具接受挂牌的通知书。</w:t>
      </w:r>
    </w:p>
    <w:p w:rsidR="00EB27AF" w:rsidRDefault="00EB27AF" w:rsidP="00EB27AF">
      <w:pPr>
        <w:numPr>
          <w:ilvl w:val="0"/>
          <w:numId w:val="1"/>
        </w:numPr>
        <w:adjustRightInd w:val="0"/>
        <w:snapToGrid w:val="0"/>
        <w:spacing w:line="560" w:lineRule="exact"/>
        <w:ind w:left="0" w:firstLine="709"/>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管理人、证券服务机构及相关人员为资产证券化业务出具相关文件或专业意见应当勤勉尽责，保证所出具文件或专业意见真实、准确、完整，不得有虚假记载、误导性陈述或者</w:t>
      </w:r>
      <w:r>
        <w:rPr>
          <w:rFonts w:ascii="仿宋_GB2312" w:eastAsia="仿宋_GB2312" w:hAnsi="宋体" w:hint="eastAsia"/>
          <w:bCs/>
          <w:color w:val="0D0D0D"/>
          <w:kern w:val="0"/>
          <w:sz w:val="30"/>
          <w:szCs w:val="30"/>
        </w:rPr>
        <w:lastRenderedPageBreak/>
        <w:t>重大遗漏。</w:t>
      </w:r>
    </w:p>
    <w:p w:rsidR="00EB27AF" w:rsidRPr="003646E1" w:rsidRDefault="00EB27AF" w:rsidP="00EB27AF">
      <w:pPr>
        <w:adjustRightInd w:val="0"/>
        <w:snapToGrid w:val="0"/>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第三章 投资者适当性管理</w:t>
      </w:r>
    </w:p>
    <w:p w:rsidR="00EB27AF" w:rsidRDefault="00EB27AF" w:rsidP="00EB27AF">
      <w:pPr>
        <w:numPr>
          <w:ilvl w:val="0"/>
          <w:numId w:val="1"/>
        </w:numPr>
        <w:spacing w:line="560" w:lineRule="exact"/>
        <w:ind w:left="0" w:firstLineChars="236" w:firstLine="708"/>
        <w:rPr>
          <w:rFonts w:ascii="仿宋_GB2312" w:eastAsia="仿宋_GB2312"/>
          <w:sz w:val="30"/>
          <w:szCs w:val="30"/>
        </w:rPr>
      </w:pPr>
      <w:r w:rsidRPr="00E97976">
        <w:rPr>
          <w:rFonts w:ascii="仿宋_GB2312" w:eastAsia="仿宋_GB2312" w:hint="eastAsia"/>
          <w:sz w:val="30"/>
          <w:szCs w:val="30"/>
        </w:rPr>
        <w:t>参与</w:t>
      </w:r>
      <w:r>
        <w:rPr>
          <w:rFonts w:ascii="仿宋_GB2312" w:eastAsia="仿宋_GB2312" w:hint="eastAsia"/>
          <w:sz w:val="30"/>
          <w:szCs w:val="30"/>
        </w:rPr>
        <w:t>资产支持证券</w:t>
      </w:r>
      <w:r w:rsidRPr="00E97976">
        <w:rPr>
          <w:rFonts w:ascii="仿宋_GB2312" w:eastAsia="仿宋_GB2312" w:hint="eastAsia"/>
          <w:sz w:val="30"/>
          <w:szCs w:val="30"/>
        </w:rPr>
        <w:t>认购和转让的合格投资者</w:t>
      </w:r>
      <w:r>
        <w:rPr>
          <w:rFonts w:ascii="仿宋_GB2312" w:eastAsia="仿宋_GB2312" w:hint="eastAsia"/>
          <w:sz w:val="30"/>
          <w:szCs w:val="30"/>
        </w:rPr>
        <w:t>，应当符合以下条件</w:t>
      </w:r>
      <w:r w:rsidRPr="00E97976">
        <w:rPr>
          <w:rFonts w:ascii="仿宋_GB2312" w:eastAsia="仿宋_GB2312" w:hint="eastAsia"/>
          <w:sz w:val="30"/>
          <w:szCs w:val="30"/>
        </w:rPr>
        <w:t>：</w:t>
      </w:r>
    </w:p>
    <w:p w:rsidR="00EB27AF" w:rsidRPr="00E97976" w:rsidRDefault="00EB27AF" w:rsidP="00EB27AF">
      <w:pPr>
        <w:spacing w:line="560" w:lineRule="exact"/>
        <w:ind w:firstLineChars="200" w:firstLine="600"/>
        <w:rPr>
          <w:rFonts w:ascii="仿宋_GB2312" w:eastAsia="仿宋_GB2312"/>
          <w:sz w:val="30"/>
          <w:szCs w:val="30"/>
        </w:rPr>
      </w:pPr>
      <w:r w:rsidRPr="00E97976">
        <w:rPr>
          <w:rFonts w:ascii="仿宋_GB2312" w:eastAsia="仿宋_GB2312" w:hint="eastAsia"/>
          <w:sz w:val="30"/>
          <w:szCs w:val="30"/>
        </w:rPr>
        <w:t>（一）</w:t>
      </w:r>
      <w:r>
        <w:rPr>
          <w:rFonts w:ascii="仿宋_GB2312" w:eastAsia="仿宋_GB2312" w:hint="eastAsia"/>
          <w:sz w:val="30"/>
          <w:szCs w:val="30"/>
        </w:rPr>
        <w:t xml:space="preserve"> </w:t>
      </w:r>
      <w:r w:rsidRPr="00E97976">
        <w:rPr>
          <w:rFonts w:ascii="仿宋_GB2312" w:eastAsia="仿宋_GB2312" w:hint="eastAsia"/>
          <w:sz w:val="30"/>
          <w:szCs w:val="30"/>
        </w:rPr>
        <w:t>经有关金融监管部门批准设立</w:t>
      </w:r>
      <w:r>
        <w:rPr>
          <w:rFonts w:ascii="仿宋_GB2312" w:eastAsia="仿宋_GB2312" w:hint="eastAsia"/>
          <w:sz w:val="30"/>
          <w:szCs w:val="30"/>
        </w:rPr>
        <w:t>的</w:t>
      </w:r>
      <w:r w:rsidRPr="00E97976">
        <w:rPr>
          <w:rFonts w:ascii="仿宋_GB2312" w:eastAsia="仿宋_GB2312" w:hint="eastAsia"/>
          <w:sz w:val="30"/>
          <w:szCs w:val="30"/>
        </w:rPr>
        <w:t>金融机构，包括银行、证券公司、基金管理公司、信托公司和保险公司等；</w:t>
      </w:r>
    </w:p>
    <w:p w:rsidR="00EB27AF" w:rsidRPr="00E97976" w:rsidRDefault="00EB27AF" w:rsidP="00EB27AF">
      <w:pPr>
        <w:spacing w:line="560" w:lineRule="exact"/>
        <w:ind w:firstLineChars="200" w:firstLine="600"/>
        <w:rPr>
          <w:rFonts w:ascii="仿宋_GB2312" w:eastAsia="仿宋_GB2312"/>
          <w:sz w:val="30"/>
          <w:szCs w:val="30"/>
        </w:rPr>
      </w:pPr>
      <w:r w:rsidRPr="00E97976">
        <w:rPr>
          <w:rFonts w:ascii="仿宋_GB2312" w:eastAsia="仿宋_GB2312" w:hint="eastAsia"/>
          <w:sz w:val="30"/>
          <w:szCs w:val="30"/>
        </w:rPr>
        <w:t>（二）</w:t>
      </w:r>
      <w:r>
        <w:rPr>
          <w:rFonts w:ascii="仿宋_GB2312" w:eastAsia="仿宋_GB2312" w:hint="eastAsia"/>
          <w:sz w:val="30"/>
          <w:szCs w:val="30"/>
        </w:rPr>
        <w:t xml:space="preserve"> </w:t>
      </w:r>
      <w:r w:rsidRPr="00E97976">
        <w:rPr>
          <w:rFonts w:ascii="仿宋_GB2312" w:eastAsia="仿宋_GB2312" w:hint="eastAsia"/>
          <w:sz w:val="30"/>
          <w:szCs w:val="30"/>
        </w:rPr>
        <w:t>上述金融机构</w:t>
      </w:r>
      <w:r>
        <w:rPr>
          <w:rFonts w:ascii="仿宋_GB2312" w:eastAsia="仿宋_GB2312" w:hint="eastAsia"/>
          <w:sz w:val="30"/>
          <w:szCs w:val="30"/>
        </w:rPr>
        <w:t>面向投资者发行的</w:t>
      </w:r>
      <w:r w:rsidRPr="00E97976">
        <w:rPr>
          <w:rFonts w:ascii="仿宋_GB2312" w:eastAsia="仿宋_GB2312" w:hint="eastAsia"/>
          <w:sz w:val="30"/>
          <w:szCs w:val="30"/>
        </w:rPr>
        <w:t>理财产品，包括但不限于银行理财产品、信托产品、</w:t>
      </w:r>
      <w:r>
        <w:rPr>
          <w:rFonts w:ascii="仿宋_GB2312" w:eastAsia="仿宋_GB2312" w:hint="eastAsia"/>
          <w:sz w:val="30"/>
          <w:szCs w:val="30"/>
        </w:rPr>
        <w:t>保</w:t>
      </w:r>
      <w:r w:rsidRPr="00E97976">
        <w:rPr>
          <w:rFonts w:ascii="仿宋_GB2312" w:eastAsia="仿宋_GB2312" w:hint="eastAsia"/>
          <w:sz w:val="30"/>
          <w:szCs w:val="30"/>
        </w:rPr>
        <w:t>险产品、基金产品、证券公司资产管理产品等;</w:t>
      </w:r>
    </w:p>
    <w:p w:rsidR="00EB27AF" w:rsidRDefault="00EB27AF" w:rsidP="00EB27AF">
      <w:pPr>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经有关金融监管部门认可的境外金融机构及其发行的金融产品，包括但不限于</w:t>
      </w:r>
      <w:r w:rsidRPr="00E97976">
        <w:rPr>
          <w:rFonts w:ascii="仿宋_GB2312" w:eastAsia="仿宋_GB2312" w:hint="eastAsia"/>
          <w:sz w:val="30"/>
          <w:szCs w:val="30"/>
        </w:rPr>
        <w:t>合格境外机构投资者（QFII）、人民币合格境外机构投资者（RQFII）；</w:t>
      </w:r>
    </w:p>
    <w:p w:rsidR="00EB27AF" w:rsidRPr="00E97976" w:rsidRDefault="00EB27AF" w:rsidP="00EB27AF">
      <w:pPr>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社会保障基金、企业年金等养老基金，慈善基金等社会公益基金；</w:t>
      </w:r>
    </w:p>
    <w:p w:rsidR="00EB27AF" w:rsidRDefault="00EB27AF" w:rsidP="00EB27AF">
      <w:pPr>
        <w:numPr>
          <w:ilvl w:val="0"/>
          <w:numId w:val="3"/>
        </w:numPr>
        <w:spacing w:line="560" w:lineRule="exact"/>
        <w:ind w:left="142" w:firstLine="458"/>
        <w:rPr>
          <w:rFonts w:ascii="仿宋_GB2312" w:eastAsia="仿宋_GB2312"/>
          <w:sz w:val="30"/>
          <w:szCs w:val="30"/>
        </w:rPr>
      </w:pPr>
      <w:r w:rsidRPr="009320D5">
        <w:rPr>
          <w:rFonts w:ascii="仿宋_GB2312" w:eastAsia="仿宋_GB2312" w:hint="eastAsia"/>
          <w:sz w:val="30"/>
          <w:szCs w:val="30"/>
        </w:rPr>
        <w:t>在行业自律组织备案或登记的私募基金及</w:t>
      </w:r>
      <w:r>
        <w:rPr>
          <w:rFonts w:ascii="仿宋_GB2312" w:eastAsia="仿宋_GB2312" w:hint="eastAsia"/>
          <w:sz w:val="30"/>
          <w:szCs w:val="30"/>
        </w:rPr>
        <w:t>符合本条第(六)款规定的</w:t>
      </w:r>
      <w:r w:rsidRPr="009320D5">
        <w:rPr>
          <w:rFonts w:ascii="仿宋_GB2312" w:eastAsia="仿宋_GB2312" w:hint="eastAsia"/>
          <w:sz w:val="30"/>
          <w:szCs w:val="30"/>
        </w:rPr>
        <w:t>私募基金管理人；</w:t>
      </w:r>
    </w:p>
    <w:p w:rsidR="00EB27AF" w:rsidRPr="001211B3" w:rsidRDefault="00EB27AF" w:rsidP="00EB27AF">
      <w:pPr>
        <w:numPr>
          <w:ilvl w:val="0"/>
          <w:numId w:val="3"/>
        </w:numPr>
        <w:spacing w:line="560" w:lineRule="exact"/>
        <w:ind w:left="142" w:firstLine="458"/>
        <w:rPr>
          <w:rFonts w:ascii="仿宋_GB2312" w:eastAsia="仿宋_GB2312"/>
          <w:sz w:val="30"/>
          <w:szCs w:val="30"/>
        </w:rPr>
      </w:pPr>
      <w:r>
        <w:rPr>
          <w:rFonts w:ascii="仿宋_GB2312" w:eastAsia="仿宋_GB2312" w:hint="eastAsia"/>
          <w:sz w:val="30"/>
          <w:szCs w:val="30"/>
        </w:rPr>
        <w:t>其他净资产不低于人民币1000万元的单位；</w:t>
      </w:r>
    </w:p>
    <w:p w:rsidR="00EB27AF" w:rsidRPr="008775FD" w:rsidRDefault="00EB27AF" w:rsidP="00EB27AF">
      <w:pPr>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符合中国证监会相关规定及</w:t>
      </w:r>
      <w:r w:rsidRPr="00E97976">
        <w:rPr>
          <w:rFonts w:ascii="仿宋_GB2312" w:eastAsia="仿宋_GB2312" w:hint="eastAsia"/>
          <w:sz w:val="30"/>
          <w:szCs w:val="30"/>
        </w:rPr>
        <w:t>经本所认可的其他合格投资者。</w:t>
      </w:r>
    </w:p>
    <w:p w:rsidR="00EB27AF" w:rsidRDefault="00EB27AF" w:rsidP="00EB27AF">
      <w:pPr>
        <w:spacing w:line="560" w:lineRule="exact"/>
        <w:ind w:firstLineChars="200" w:firstLine="600"/>
        <w:rPr>
          <w:rFonts w:ascii="仿宋_GB2312" w:eastAsia="仿宋_GB2312"/>
          <w:sz w:val="30"/>
          <w:szCs w:val="30"/>
        </w:rPr>
      </w:pPr>
      <w:r>
        <w:rPr>
          <w:rFonts w:ascii="仿宋_GB2312" w:eastAsia="仿宋_GB2312" w:hint="eastAsia"/>
          <w:sz w:val="30"/>
          <w:szCs w:val="30"/>
        </w:rPr>
        <w:t>资产支持证券的原始权益人，可以参与相应资产支持证券的认购和转让。</w:t>
      </w:r>
    </w:p>
    <w:p w:rsidR="00EB27AF" w:rsidRDefault="00EB27AF" w:rsidP="00EB27AF">
      <w:pPr>
        <w:numPr>
          <w:ilvl w:val="0"/>
          <w:numId w:val="1"/>
        </w:numPr>
        <w:spacing w:line="560" w:lineRule="exact"/>
        <w:ind w:left="0" w:firstLineChars="236" w:firstLine="708"/>
        <w:rPr>
          <w:rFonts w:ascii="仿宋_GB2312" w:eastAsia="仿宋_GB2312"/>
          <w:sz w:val="30"/>
          <w:szCs w:val="30"/>
        </w:rPr>
      </w:pPr>
      <w:r w:rsidRPr="00045C0A">
        <w:rPr>
          <w:rFonts w:ascii="仿宋_GB2312" w:eastAsia="仿宋_GB2312" w:hint="eastAsia"/>
          <w:sz w:val="30"/>
          <w:szCs w:val="30"/>
        </w:rPr>
        <w:t>投资者认购或者买入资产支持证券，除符合本指引第十</w:t>
      </w:r>
      <w:r>
        <w:rPr>
          <w:rFonts w:ascii="仿宋_GB2312" w:eastAsia="仿宋_GB2312" w:hint="eastAsia"/>
          <w:sz w:val="30"/>
          <w:szCs w:val="30"/>
        </w:rPr>
        <w:t>四</w:t>
      </w:r>
      <w:r w:rsidRPr="00045C0A">
        <w:rPr>
          <w:rFonts w:ascii="仿宋_GB2312" w:eastAsia="仿宋_GB2312" w:hint="eastAsia"/>
          <w:sz w:val="30"/>
          <w:szCs w:val="30"/>
        </w:rPr>
        <w:t>条规定外，还应当同时符合发行文件对投资者范围的约定。</w:t>
      </w:r>
      <w:r>
        <w:rPr>
          <w:rFonts w:ascii="仿宋_GB2312" w:eastAsia="仿宋_GB2312" w:hint="eastAsia"/>
          <w:sz w:val="30"/>
          <w:szCs w:val="30"/>
        </w:rPr>
        <w:t>每期资产支持证券的投资者合计不超过200人，单笔认购金</w:t>
      </w:r>
      <w:r>
        <w:rPr>
          <w:rFonts w:ascii="仿宋_GB2312" w:eastAsia="仿宋_GB2312" w:hint="eastAsia"/>
          <w:sz w:val="30"/>
          <w:szCs w:val="30"/>
        </w:rPr>
        <w:lastRenderedPageBreak/>
        <w:t>额不低于人民币100万元。</w:t>
      </w:r>
    </w:p>
    <w:p w:rsidR="00EB27AF" w:rsidRPr="00045C0A" w:rsidRDefault="00EB27AF" w:rsidP="00EB27AF">
      <w:pPr>
        <w:numPr>
          <w:ilvl w:val="0"/>
          <w:numId w:val="1"/>
        </w:numPr>
        <w:spacing w:line="560" w:lineRule="exact"/>
        <w:ind w:left="0" w:firstLineChars="236" w:firstLine="708"/>
        <w:rPr>
          <w:rFonts w:ascii="仿宋_GB2312" w:eastAsia="仿宋_GB2312"/>
          <w:sz w:val="30"/>
          <w:szCs w:val="30"/>
        </w:rPr>
      </w:pPr>
      <w:r w:rsidRPr="00045C0A">
        <w:rPr>
          <w:rFonts w:ascii="仿宋_GB2312" w:eastAsia="仿宋_GB2312" w:hAnsi="宋体" w:hint="eastAsia"/>
          <w:bCs/>
          <w:color w:val="0D0D0D"/>
          <w:kern w:val="0"/>
          <w:sz w:val="30"/>
          <w:szCs w:val="30"/>
        </w:rPr>
        <w:t>证券经营机构应当建立完备的投资者适当性管理制度，了解和评估投资者对资产支持证券的风险识别和承担能力，充分揭示风险，确认参与资产支持证券认购和转让的投资者为具备风险识别与承担能力的合格投资者。</w:t>
      </w:r>
    </w:p>
    <w:p w:rsidR="00EB27AF" w:rsidRPr="003646E1" w:rsidRDefault="00EB27AF" w:rsidP="00EB27AF">
      <w:pPr>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第四章  转让服务</w:t>
      </w:r>
    </w:p>
    <w:p w:rsidR="00EB27AF" w:rsidRPr="008A2C65"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资产支持证券在本所挂牌转让的，</w:t>
      </w:r>
      <w:r w:rsidRPr="00194F6E">
        <w:rPr>
          <w:rFonts w:ascii="仿宋_GB2312" w:eastAsia="仿宋_GB2312" w:hAnsi="宋体" w:hint="eastAsia"/>
          <w:bCs/>
          <w:color w:val="0D0D0D"/>
          <w:kern w:val="0"/>
          <w:sz w:val="30"/>
          <w:szCs w:val="30"/>
        </w:rPr>
        <w:t>本所按照申报时间先后顺序对</w:t>
      </w:r>
      <w:r>
        <w:rPr>
          <w:rFonts w:ascii="仿宋_GB2312" w:eastAsia="仿宋_GB2312" w:hAnsi="宋体" w:hint="eastAsia"/>
          <w:bCs/>
          <w:color w:val="0D0D0D"/>
          <w:kern w:val="0"/>
          <w:sz w:val="30"/>
          <w:szCs w:val="30"/>
        </w:rPr>
        <w:t>资产支持证券转让</w:t>
      </w:r>
      <w:r w:rsidRPr="00194F6E">
        <w:rPr>
          <w:rFonts w:ascii="仿宋_GB2312" w:eastAsia="仿宋_GB2312" w:hAnsi="宋体" w:hint="eastAsia"/>
          <w:bCs/>
          <w:color w:val="0D0D0D"/>
          <w:kern w:val="0"/>
          <w:sz w:val="30"/>
          <w:szCs w:val="30"/>
        </w:rPr>
        <w:t>进行确认，对导致</w:t>
      </w:r>
      <w:r>
        <w:rPr>
          <w:rFonts w:ascii="仿宋_GB2312" w:eastAsia="仿宋_GB2312" w:hAnsi="宋体" w:hint="eastAsia"/>
          <w:bCs/>
          <w:color w:val="0D0D0D"/>
          <w:kern w:val="0"/>
          <w:sz w:val="30"/>
          <w:szCs w:val="30"/>
        </w:rPr>
        <w:t>资产支持证券</w:t>
      </w:r>
      <w:r w:rsidRPr="00194F6E">
        <w:rPr>
          <w:rFonts w:ascii="仿宋_GB2312" w:eastAsia="仿宋_GB2312" w:hAnsi="宋体" w:hint="eastAsia"/>
          <w:bCs/>
          <w:color w:val="0D0D0D"/>
          <w:kern w:val="0"/>
          <w:sz w:val="30"/>
          <w:szCs w:val="30"/>
        </w:rPr>
        <w:t>持有</w:t>
      </w:r>
      <w:r>
        <w:rPr>
          <w:rFonts w:ascii="仿宋_GB2312" w:eastAsia="仿宋_GB2312" w:hAnsi="宋体" w:hint="eastAsia"/>
          <w:bCs/>
          <w:color w:val="0D0D0D"/>
          <w:kern w:val="0"/>
          <w:sz w:val="30"/>
          <w:szCs w:val="30"/>
        </w:rPr>
        <w:t>人</w:t>
      </w:r>
      <w:r w:rsidRPr="00194F6E">
        <w:rPr>
          <w:rFonts w:ascii="仿宋_GB2312" w:eastAsia="仿宋_GB2312" w:hAnsi="宋体" w:hint="eastAsia"/>
          <w:bCs/>
          <w:color w:val="0D0D0D"/>
          <w:kern w:val="0"/>
          <w:sz w:val="30"/>
          <w:szCs w:val="30"/>
        </w:rPr>
        <w:t>数超过</w:t>
      </w:r>
      <w:r>
        <w:rPr>
          <w:rFonts w:ascii="仿宋_GB2312" w:eastAsia="仿宋_GB2312" w:hAnsi="宋体" w:hint="eastAsia"/>
          <w:bCs/>
          <w:color w:val="0D0D0D"/>
          <w:kern w:val="0"/>
          <w:sz w:val="30"/>
          <w:szCs w:val="30"/>
        </w:rPr>
        <w:t>200人</w:t>
      </w:r>
      <w:r w:rsidRPr="00194F6E">
        <w:rPr>
          <w:rFonts w:ascii="仿宋_GB2312" w:eastAsia="仿宋_GB2312" w:hAnsi="宋体" w:hint="eastAsia"/>
          <w:bCs/>
          <w:color w:val="0D0D0D"/>
          <w:kern w:val="0"/>
          <w:sz w:val="30"/>
          <w:szCs w:val="30"/>
        </w:rPr>
        <w:t>的</w:t>
      </w:r>
      <w:r>
        <w:rPr>
          <w:rFonts w:ascii="仿宋_GB2312" w:eastAsia="仿宋_GB2312" w:hAnsi="宋体" w:hint="eastAsia"/>
          <w:bCs/>
          <w:color w:val="0D0D0D"/>
          <w:kern w:val="0"/>
          <w:sz w:val="30"/>
          <w:szCs w:val="30"/>
        </w:rPr>
        <w:t>转让</w:t>
      </w:r>
      <w:r w:rsidRPr="00194F6E">
        <w:rPr>
          <w:rFonts w:ascii="仿宋_GB2312" w:eastAsia="仿宋_GB2312" w:hAnsi="宋体" w:hint="eastAsia"/>
          <w:bCs/>
          <w:color w:val="0D0D0D"/>
          <w:kern w:val="0"/>
          <w:sz w:val="30"/>
          <w:szCs w:val="30"/>
        </w:rPr>
        <w:t>不予确认。</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资产支持证券以现货或本所认可的其他方式转让，并可以根据本所相关规则通过债券质押式回购融资。资产支持证券的</w:t>
      </w:r>
      <w:r>
        <w:rPr>
          <w:rFonts w:ascii="仿宋_GB2312" w:eastAsia="仿宋_GB2312" w:hint="eastAsia"/>
          <w:sz w:val="30"/>
          <w:szCs w:val="30"/>
        </w:rPr>
        <w:t>现货转让适用本所债券交易的相关规定，单笔申报数量应当不低于100万元发行面值。</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sidRPr="00165DDC">
        <w:rPr>
          <w:rFonts w:ascii="仿宋_GB2312" w:eastAsia="仿宋_GB2312" w:hAnsi="宋体" w:hint="eastAsia"/>
          <w:bCs/>
          <w:color w:val="0D0D0D"/>
          <w:kern w:val="0"/>
          <w:sz w:val="30"/>
          <w:szCs w:val="30"/>
        </w:rPr>
        <w:t>优先级档资产支持证券按净价方式转让，次级档资产支持证券按全价方式转让，本所另有规定的除外。</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发生尚未披露且可能对资产支持证券投资价值或价格产生实质性影响的重大事件并经管理人向本所申请的，或者发生本所认定的其他情形的，本所可对资产支持证券进行停牌。相关情形消除后，本所可以视情况复牌。</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资产支持证券出现下列情况之一的，本所终止提供资产支持证券转让服务：</w:t>
      </w:r>
    </w:p>
    <w:p w:rsidR="00EB27AF" w:rsidRDefault="00EB27AF" w:rsidP="00EB27AF">
      <w:pPr>
        <w:numPr>
          <w:ilvl w:val="0"/>
          <w:numId w:val="4"/>
        </w:numPr>
        <w:spacing w:line="560" w:lineRule="exact"/>
        <w:ind w:left="0" w:firstLine="710"/>
        <w:rPr>
          <w:rFonts w:ascii="仿宋_GB2312" w:eastAsia="仿宋_GB2312" w:hAnsi="宋体"/>
          <w:bCs/>
          <w:color w:val="0D0D0D"/>
          <w:kern w:val="0"/>
          <w:sz w:val="30"/>
          <w:szCs w:val="30"/>
        </w:rPr>
      </w:pPr>
      <w:r w:rsidRPr="00165DDC">
        <w:rPr>
          <w:rFonts w:ascii="仿宋_GB2312" w:eastAsia="仿宋_GB2312" w:hAnsi="宋体" w:hint="eastAsia"/>
          <w:bCs/>
          <w:color w:val="0D0D0D"/>
          <w:kern w:val="0"/>
          <w:sz w:val="30"/>
          <w:szCs w:val="30"/>
        </w:rPr>
        <w:t>资产支持证券到期</w:t>
      </w:r>
      <w:r>
        <w:rPr>
          <w:rFonts w:ascii="仿宋_GB2312" w:eastAsia="仿宋_GB2312" w:hAnsi="宋体" w:hint="eastAsia"/>
          <w:bCs/>
          <w:color w:val="0D0D0D"/>
          <w:kern w:val="0"/>
          <w:sz w:val="30"/>
          <w:szCs w:val="30"/>
        </w:rPr>
        <w:t>前2个交易日</w:t>
      </w:r>
      <w:r w:rsidRPr="00165DDC">
        <w:rPr>
          <w:rFonts w:ascii="仿宋_GB2312" w:eastAsia="仿宋_GB2312" w:hAnsi="宋体" w:hint="eastAsia"/>
          <w:bCs/>
          <w:color w:val="0D0D0D"/>
          <w:kern w:val="0"/>
          <w:sz w:val="30"/>
          <w:szCs w:val="30"/>
        </w:rPr>
        <w:t>；</w:t>
      </w:r>
    </w:p>
    <w:p w:rsidR="00EB27AF" w:rsidRPr="00165DDC" w:rsidRDefault="00EB27AF" w:rsidP="00EB27AF">
      <w:pPr>
        <w:numPr>
          <w:ilvl w:val="0"/>
          <w:numId w:val="4"/>
        </w:numPr>
        <w:spacing w:line="560" w:lineRule="exact"/>
        <w:ind w:left="0" w:firstLine="710"/>
        <w:rPr>
          <w:rFonts w:ascii="仿宋_GB2312" w:eastAsia="仿宋_GB2312" w:hAnsi="宋体"/>
          <w:bCs/>
          <w:color w:val="0D0D0D"/>
          <w:kern w:val="0"/>
          <w:sz w:val="30"/>
          <w:szCs w:val="30"/>
        </w:rPr>
      </w:pPr>
      <w:r w:rsidRPr="00165DDC">
        <w:rPr>
          <w:rFonts w:ascii="仿宋_GB2312" w:eastAsia="仿宋_GB2312" w:hAnsi="宋体" w:hint="eastAsia"/>
          <w:bCs/>
          <w:color w:val="0D0D0D"/>
          <w:kern w:val="0"/>
          <w:sz w:val="30"/>
          <w:szCs w:val="30"/>
        </w:rPr>
        <w:t>资产支持证券未到期，但专项计划根据计划说明书约定终止的</w:t>
      </w:r>
      <w:r>
        <w:rPr>
          <w:rFonts w:ascii="仿宋_GB2312" w:eastAsia="仿宋_GB2312" w:hAnsi="宋体" w:hint="eastAsia"/>
          <w:bCs/>
          <w:color w:val="0D0D0D"/>
          <w:kern w:val="0"/>
          <w:sz w:val="30"/>
          <w:szCs w:val="30"/>
        </w:rPr>
        <w:t>；</w:t>
      </w:r>
    </w:p>
    <w:p w:rsidR="00EB27AF" w:rsidRPr="00165DDC" w:rsidRDefault="00EB27AF" w:rsidP="00EB27AF">
      <w:pPr>
        <w:numPr>
          <w:ilvl w:val="0"/>
          <w:numId w:val="4"/>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lastRenderedPageBreak/>
        <w:t>管理人或本所认定需要终止转让的其他情形。</w:t>
      </w:r>
    </w:p>
    <w:p w:rsidR="00EB27AF" w:rsidRPr="003646E1" w:rsidRDefault="00EB27AF" w:rsidP="00EB27AF">
      <w:pPr>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第五章  信息披露</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sidRPr="00F562A1">
        <w:rPr>
          <w:rFonts w:ascii="仿宋_GB2312" w:eastAsia="仿宋_GB2312" w:hAnsi="宋体" w:hint="eastAsia"/>
          <w:bCs/>
          <w:color w:val="0D0D0D"/>
          <w:kern w:val="0"/>
          <w:sz w:val="30"/>
          <w:szCs w:val="30"/>
        </w:rPr>
        <w:t>管理人、托管人和其他信息披露义务人</w:t>
      </w:r>
      <w:r>
        <w:rPr>
          <w:rFonts w:ascii="仿宋_GB2312" w:eastAsia="仿宋_GB2312" w:hAnsi="宋体" w:hint="eastAsia"/>
          <w:bCs/>
          <w:color w:val="0D0D0D"/>
          <w:kern w:val="0"/>
          <w:sz w:val="30"/>
          <w:szCs w:val="30"/>
        </w:rPr>
        <w:t>（以下简称“信息披露义务人”）</w:t>
      </w:r>
      <w:r w:rsidRPr="00F562A1">
        <w:rPr>
          <w:rFonts w:ascii="仿宋_GB2312" w:eastAsia="仿宋_GB2312" w:hAnsi="宋体" w:hint="eastAsia"/>
          <w:bCs/>
          <w:color w:val="0D0D0D"/>
          <w:kern w:val="0"/>
          <w:sz w:val="30"/>
          <w:szCs w:val="30"/>
        </w:rPr>
        <w:t>应</w:t>
      </w:r>
      <w:r>
        <w:rPr>
          <w:rFonts w:ascii="仿宋_GB2312" w:eastAsia="仿宋_GB2312" w:hAnsi="宋体" w:hint="eastAsia"/>
          <w:bCs/>
          <w:color w:val="0D0D0D"/>
          <w:kern w:val="0"/>
          <w:sz w:val="30"/>
          <w:szCs w:val="30"/>
        </w:rPr>
        <w:t>当指定专人负责信息披露事务，</w:t>
      </w:r>
      <w:r w:rsidRPr="00F562A1">
        <w:rPr>
          <w:rFonts w:ascii="仿宋_GB2312" w:eastAsia="仿宋_GB2312" w:hAnsi="宋体" w:hint="eastAsia"/>
          <w:bCs/>
          <w:color w:val="0D0D0D"/>
          <w:kern w:val="0"/>
          <w:sz w:val="30"/>
          <w:szCs w:val="30"/>
        </w:rPr>
        <w:t>按照《管理规定》</w:t>
      </w:r>
      <w:r>
        <w:rPr>
          <w:rFonts w:ascii="仿宋_GB2312" w:eastAsia="仿宋_GB2312" w:hAnsi="宋体" w:hint="eastAsia"/>
          <w:bCs/>
          <w:color w:val="0D0D0D"/>
          <w:kern w:val="0"/>
          <w:sz w:val="30"/>
          <w:szCs w:val="30"/>
        </w:rPr>
        <w:t>、《信息披露指引</w:t>
      </w:r>
      <w:r w:rsidRPr="00E82550">
        <w:rPr>
          <w:rFonts w:ascii="仿宋_GB2312" w:eastAsia="仿宋_GB2312" w:hAnsi="宋体" w:hint="eastAsia"/>
          <w:bCs/>
          <w:color w:val="0D0D0D"/>
          <w:kern w:val="0"/>
          <w:sz w:val="30"/>
          <w:szCs w:val="30"/>
        </w:rPr>
        <w:t>》</w:t>
      </w:r>
      <w:r w:rsidRPr="00F562A1">
        <w:rPr>
          <w:rFonts w:ascii="仿宋_GB2312" w:eastAsia="仿宋_GB2312" w:hAnsi="宋体" w:hint="eastAsia"/>
          <w:bCs/>
          <w:color w:val="0D0D0D"/>
          <w:kern w:val="0"/>
          <w:sz w:val="30"/>
          <w:szCs w:val="30"/>
        </w:rPr>
        <w:t>和</w:t>
      </w:r>
      <w:r>
        <w:rPr>
          <w:rFonts w:ascii="仿宋_GB2312" w:eastAsia="仿宋_GB2312" w:hAnsi="宋体" w:hint="eastAsia"/>
          <w:bCs/>
          <w:color w:val="0D0D0D"/>
          <w:kern w:val="0"/>
          <w:sz w:val="30"/>
          <w:szCs w:val="30"/>
        </w:rPr>
        <w:t>计划说明书的约定履行信息披露义务，所披露的信息必须真实、准确、完整、不得有虚假记载、误导性陈述或者重大遗漏。</w:t>
      </w:r>
    </w:p>
    <w:p w:rsidR="00EB27AF" w:rsidRPr="006F648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信息披露应当通过</w:t>
      </w:r>
      <w:r w:rsidRPr="00BF4B08">
        <w:rPr>
          <w:rFonts w:ascii="仿宋_GB2312" w:eastAsia="仿宋_GB2312" w:hAnsi="宋体" w:hint="eastAsia"/>
          <w:bCs/>
          <w:color w:val="0D0D0D"/>
          <w:kern w:val="0"/>
          <w:sz w:val="30"/>
          <w:szCs w:val="30"/>
        </w:rPr>
        <w:t>本所网站</w:t>
      </w:r>
      <w:r>
        <w:rPr>
          <w:rFonts w:ascii="仿宋_GB2312" w:eastAsia="仿宋_GB2312" w:hAnsi="宋体" w:hint="eastAsia"/>
          <w:bCs/>
          <w:color w:val="0D0D0D"/>
          <w:kern w:val="0"/>
          <w:sz w:val="30"/>
          <w:szCs w:val="30"/>
        </w:rPr>
        <w:t>或以本所认可的方式进行</w:t>
      </w:r>
      <w:r w:rsidRPr="00BF4B08">
        <w:rPr>
          <w:rFonts w:ascii="仿宋_GB2312" w:eastAsia="仿宋_GB2312" w:hAnsi="宋体" w:hint="eastAsia"/>
          <w:bCs/>
          <w:color w:val="0D0D0D"/>
          <w:kern w:val="0"/>
          <w:sz w:val="30"/>
          <w:szCs w:val="30"/>
        </w:rPr>
        <w:t>。</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资产支持证券通过本所转让的，管理人应当不晚于挂牌日披露资产支持证券基本信息以及《信息披露指引</w:t>
      </w:r>
      <w:r w:rsidRPr="00E82550">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中要求披露的计划说明书等发行文件。</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管理人应当履行下列定期报告义务：</w:t>
      </w:r>
    </w:p>
    <w:p w:rsidR="00EB27AF" w:rsidRDefault="00EB27AF" w:rsidP="00EB27AF">
      <w:pPr>
        <w:numPr>
          <w:ilvl w:val="0"/>
          <w:numId w:val="5"/>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在每期资产支持证券收益分配日的两个交易日前披露专项计划收益分配报告。</w:t>
      </w:r>
    </w:p>
    <w:p w:rsidR="00EB27AF" w:rsidRDefault="00EB27AF" w:rsidP="00EB27AF">
      <w:pPr>
        <w:numPr>
          <w:ilvl w:val="0"/>
          <w:numId w:val="5"/>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每年4月30日前披露上年度资产管理报告。</w:t>
      </w:r>
    </w:p>
    <w:p w:rsidR="00EB27AF" w:rsidRDefault="00EB27AF" w:rsidP="00EB27AF">
      <w:pPr>
        <w:numPr>
          <w:ilvl w:val="0"/>
          <w:numId w:val="5"/>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中国证监会、本所规定和计划说明书约定的其他定期报告义务。</w:t>
      </w:r>
    </w:p>
    <w:p w:rsidR="00EB27AF" w:rsidRDefault="00EB27AF" w:rsidP="00EB27AF">
      <w:pPr>
        <w:spacing w:line="560" w:lineRule="exact"/>
        <w:ind w:firstLineChars="236" w:firstLine="708"/>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对设立不足两个月的专项计划，管理人可以不编制年度资产管理报告。</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托管人应当在管理人披露资产管理报告的同时披露相应期间的托管报告。</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资产支持证券出具信用评级报告的，资信评级机构应当于资产支持证券存续期内每年的</w:t>
      </w:r>
      <w:smartTag w:uri="urn:schemas-microsoft-com:office:smarttags" w:element="chsdate">
        <w:smartTagPr>
          <w:attr w:name="IsROCDate" w:val="False"/>
          <w:attr w:name="IsLunarDate" w:val="False"/>
          <w:attr w:name="Day" w:val="30"/>
          <w:attr w:name="Month" w:val="6"/>
          <w:attr w:name="Year" w:val="2014"/>
        </w:smartTagPr>
        <w:r>
          <w:rPr>
            <w:rFonts w:ascii="仿宋_GB2312" w:eastAsia="仿宋_GB2312" w:hAnsi="宋体" w:hint="eastAsia"/>
            <w:bCs/>
            <w:color w:val="0D0D0D"/>
            <w:kern w:val="0"/>
            <w:sz w:val="30"/>
            <w:szCs w:val="30"/>
          </w:rPr>
          <w:t>6月30日前</w:t>
        </w:r>
      </w:smartTag>
      <w:r>
        <w:rPr>
          <w:rFonts w:ascii="仿宋_GB2312" w:eastAsia="仿宋_GB2312" w:hAnsi="宋体" w:hint="eastAsia"/>
          <w:bCs/>
          <w:color w:val="0D0D0D"/>
          <w:kern w:val="0"/>
          <w:sz w:val="30"/>
          <w:szCs w:val="30"/>
        </w:rPr>
        <w:t>披露上</w:t>
      </w:r>
      <w:r>
        <w:rPr>
          <w:rFonts w:ascii="仿宋_GB2312" w:eastAsia="仿宋_GB2312" w:hAnsi="宋体" w:hint="eastAsia"/>
          <w:bCs/>
          <w:color w:val="0D0D0D"/>
          <w:kern w:val="0"/>
          <w:sz w:val="30"/>
          <w:szCs w:val="30"/>
        </w:rPr>
        <w:lastRenderedPageBreak/>
        <w:t>年度的定期跟踪评级报告，并应当及时披露不定期跟踪评级报告。</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召开资产支持证券持有人会议的，召集人应及时公布会议相关信息，并于会议结束后及时披露持有人会议决议。</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sidRPr="00E82550">
        <w:rPr>
          <w:rFonts w:ascii="仿宋_GB2312" w:eastAsia="仿宋_GB2312" w:hAnsi="宋体" w:hint="eastAsia"/>
          <w:bCs/>
          <w:color w:val="0D0D0D"/>
          <w:kern w:val="0"/>
          <w:sz w:val="30"/>
          <w:szCs w:val="30"/>
        </w:rPr>
        <w:t>资产支持证券</w:t>
      </w:r>
      <w:r>
        <w:rPr>
          <w:rFonts w:ascii="仿宋_GB2312" w:eastAsia="仿宋_GB2312" w:hAnsi="宋体" w:hint="eastAsia"/>
          <w:bCs/>
          <w:color w:val="0D0D0D"/>
          <w:kern w:val="0"/>
          <w:sz w:val="30"/>
          <w:szCs w:val="30"/>
        </w:rPr>
        <w:t>在</w:t>
      </w:r>
      <w:r w:rsidRPr="00E82550">
        <w:rPr>
          <w:rFonts w:ascii="仿宋_GB2312" w:eastAsia="仿宋_GB2312" w:hAnsi="宋体" w:hint="eastAsia"/>
          <w:bCs/>
          <w:color w:val="0D0D0D"/>
          <w:kern w:val="0"/>
          <w:sz w:val="30"/>
          <w:szCs w:val="30"/>
        </w:rPr>
        <w:t>存续期间</w:t>
      </w:r>
      <w:r>
        <w:rPr>
          <w:rFonts w:ascii="仿宋_GB2312" w:eastAsia="仿宋_GB2312" w:hAnsi="宋体" w:hint="eastAsia"/>
          <w:bCs/>
          <w:color w:val="0D0D0D"/>
          <w:kern w:val="0"/>
          <w:sz w:val="30"/>
          <w:szCs w:val="30"/>
        </w:rPr>
        <w:t>发生《信息披露指引</w:t>
      </w:r>
      <w:r w:rsidRPr="00E82550">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中所列可能对资产支持证券投资价值或价格有实质性影响的重大事件时</w:t>
      </w:r>
      <w:r w:rsidRPr="00E82550">
        <w:rPr>
          <w:rFonts w:ascii="仿宋_GB2312" w:eastAsia="仿宋_GB2312" w:hAnsi="宋体" w:hint="eastAsia"/>
          <w:bCs/>
          <w:color w:val="0D0D0D"/>
          <w:kern w:val="0"/>
          <w:sz w:val="30"/>
          <w:szCs w:val="30"/>
        </w:rPr>
        <w:t>，</w:t>
      </w:r>
      <w:r>
        <w:rPr>
          <w:rFonts w:ascii="仿宋_GB2312" w:eastAsia="仿宋_GB2312" w:hAnsi="宋体" w:hint="eastAsia"/>
          <w:bCs/>
          <w:color w:val="0D0D0D"/>
          <w:kern w:val="0"/>
          <w:sz w:val="30"/>
          <w:szCs w:val="30"/>
        </w:rPr>
        <w:t>管理人应及时通过本所向投资者披露相关信息。</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管理人应当自专项计划清算完毕之日起10个工作日内披露清算报告。</w:t>
      </w:r>
    </w:p>
    <w:p w:rsidR="00EB27AF" w:rsidRPr="00592B73"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sidRPr="002A65CF">
        <w:rPr>
          <w:rFonts w:ascii="仿宋_GB2312" w:eastAsia="仿宋_GB2312" w:hAnsi="宋体" w:hint="eastAsia"/>
          <w:bCs/>
          <w:color w:val="0D0D0D"/>
          <w:kern w:val="0"/>
          <w:sz w:val="30"/>
          <w:szCs w:val="30"/>
        </w:rPr>
        <w:t>以基础资产产生现金流循环购买新的同类基础资产方式组成专项计划资产的，管理人及其他信息披露义务人应当按照计划说明书的约定，定期披露循环购买符合入池标准的资产规模及循环购买的实际操作情况。</w:t>
      </w:r>
    </w:p>
    <w:p w:rsidR="00EB27AF" w:rsidRPr="003646E1" w:rsidRDefault="00EB27AF" w:rsidP="00EB27AF">
      <w:pPr>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第六章  风险控制及持续性义务</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管理人在开展资产证券化业务过程中进行风险控制应当遵循全面性、规范性、审慎性、适当性原则。</w:t>
      </w:r>
    </w:p>
    <w:p w:rsidR="00EB27AF" w:rsidRDefault="00EB27AF" w:rsidP="00EB27AF">
      <w:pPr>
        <w:numPr>
          <w:ilvl w:val="0"/>
          <w:numId w:val="1"/>
        </w:numPr>
        <w:spacing w:line="560" w:lineRule="exact"/>
        <w:ind w:left="0" w:firstLine="71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管理人应当根据基础资产类型对基础资产转让环节的转让登记、通知债务人、附属担保权益等事项作出适当安排。</w:t>
      </w:r>
    </w:p>
    <w:p w:rsidR="00EB27AF" w:rsidRDefault="00EB27AF" w:rsidP="00EB27AF">
      <w:pPr>
        <w:spacing w:line="560" w:lineRule="exact"/>
        <w:ind w:firstLineChars="200" w:firstLine="600"/>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 xml:space="preserve">基础资产存在附属担保权益无法完成转让变更手续等其他影响基础资产转让有效性的情形的，管理人应当采取恰当的权利完善措施。 </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管理人对基础资产现金流预测应当遵循合理、审慎的原则，充分考虑影响未来现金流变化的各种因素，并在专</w:t>
      </w:r>
      <w:r>
        <w:rPr>
          <w:rFonts w:ascii="仿宋_GB2312" w:eastAsia="仿宋_GB2312" w:hAnsi="宋体" w:hint="eastAsia"/>
          <w:bCs/>
          <w:color w:val="0D0D0D"/>
          <w:kern w:val="0"/>
          <w:sz w:val="30"/>
          <w:szCs w:val="30"/>
        </w:rPr>
        <w:lastRenderedPageBreak/>
        <w:t>项计划存续期间持续关注基础资产现金流的运行状况，发现可能影响兑付的情况，应当协调相关方做好应对方案。</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应当在计划说明书等法律文件中披露基础资产现金流归集、划转流程及账户设置安排，明确可能面临的风险和防范措施。管理人应当重点关注现金流在流转环节中的混同及挪用风险，建立相关风险防范机制。</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管理人应当关注基础资产产生现金流的再投资风险，确保再投资在约定范围内进行，并充分考虑投资标的的相关风险。</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专项计划交易结构中设置资产服务机构的，管理人应当关注资产服务机构的持续服务能力，并设置后备服务机构替换机制。原始权益人担任资产服务机构的，应当确保基础资产的独立性，防范利益冲突及道德风险。</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以基础资产产生现金流循环购买新的同类基础资产方式组成专项计划资产的，管理人应当设置适当的入池标准，通过管理流程安排对后续购买的资产进行审查和执行确认，并持续关注符合入池标准的资产规模是否满足循环购买需求，制定相应风险控制措施。</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专项计划法律文件应当明确各项信用增级措施的触发条件、操作流程。管理人应当督促相关方严格按照专项计划法律文件的约定履行相应义务。</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管理人应当严格按照合同约定进行收益分配，控制现金流划转、兑付的操作风险，按照合同约定及时向投资者披露收益分配信息。</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lastRenderedPageBreak/>
        <w:t>管理人应当委托符合条件的专业评估机构对不动产等专业性较强的基础资产价值进行评估，并出具评估报告。</w:t>
      </w:r>
    </w:p>
    <w:p w:rsidR="00EB27AF" w:rsidRDefault="00EB27AF" w:rsidP="00EB27AF">
      <w:pPr>
        <w:numPr>
          <w:ilvl w:val="0"/>
          <w:numId w:val="1"/>
        </w:numPr>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交易结构中存在关联交易的，管理人应当维护投资者权益，按照公允价值公平交易，及时履行信息披露义务。</w:t>
      </w:r>
    </w:p>
    <w:p w:rsidR="00EB27AF" w:rsidRPr="003646E1" w:rsidRDefault="00EB27AF" w:rsidP="00EB27AF">
      <w:pPr>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第七章  自律监管及纪律处分措施</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特定原始权益人及其董事、监事和高级管理人员或其他相关人员，未履行资产支持证券发行文件约定、违反本指引、本所其他相关规定或者其所作出的承诺的，本所可以根据相关规定采取自律监管及纪律处分措施。</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管理人、证券服务机构等信息披露义务人</w:t>
      </w:r>
      <w:r w:rsidRPr="00E82550">
        <w:rPr>
          <w:rFonts w:ascii="仿宋_GB2312" w:eastAsia="仿宋_GB2312" w:hAnsi="宋体" w:hint="eastAsia"/>
          <w:bCs/>
          <w:color w:val="0D0D0D"/>
          <w:kern w:val="0"/>
          <w:sz w:val="30"/>
          <w:szCs w:val="30"/>
        </w:rPr>
        <w:t>违反</w:t>
      </w:r>
      <w:r>
        <w:rPr>
          <w:rFonts w:ascii="仿宋_GB2312" w:eastAsia="仿宋_GB2312" w:hAnsi="宋体" w:hint="eastAsia"/>
          <w:bCs/>
          <w:color w:val="0D0D0D"/>
          <w:kern w:val="0"/>
          <w:sz w:val="30"/>
          <w:szCs w:val="30"/>
        </w:rPr>
        <w:t>法律、法规、规章和</w:t>
      </w:r>
      <w:r w:rsidRPr="00E82550">
        <w:rPr>
          <w:rFonts w:ascii="仿宋_GB2312" w:eastAsia="仿宋_GB2312" w:hAnsi="宋体" w:hint="eastAsia"/>
          <w:bCs/>
          <w:color w:val="0D0D0D"/>
          <w:kern w:val="0"/>
          <w:sz w:val="30"/>
          <w:szCs w:val="30"/>
        </w:rPr>
        <w:t>本</w:t>
      </w:r>
      <w:r>
        <w:rPr>
          <w:rFonts w:ascii="仿宋_GB2312" w:eastAsia="仿宋_GB2312" w:hAnsi="宋体" w:hint="eastAsia"/>
          <w:bCs/>
          <w:color w:val="0D0D0D"/>
          <w:kern w:val="0"/>
          <w:sz w:val="30"/>
          <w:szCs w:val="30"/>
        </w:rPr>
        <w:t>指引及本所其他相关规定，未履行信息披露义务或所出具的文件含有虚假记载、误导性陈述、重大遗漏，</w:t>
      </w:r>
      <w:r w:rsidRPr="00E82550">
        <w:rPr>
          <w:rFonts w:ascii="仿宋_GB2312" w:eastAsia="仿宋_GB2312" w:hAnsi="宋体" w:hint="eastAsia"/>
          <w:bCs/>
          <w:color w:val="0D0D0D"/>
          <w:kern w:val="0"/>
          <w:sz w:val="30"/>
          <w:szCs w:val="30"/>
        </w:rPr>
        <w:t>本所可以根据相关规定采取</w:t>
      </w:r>
      <w:r>
        <w:rPr>
          <w:rFonts w:ascii="仿宋_GB2312" w:eastAsia="仿宋_GB2312" w:hAnsi="宋体" w:hint="eastAsia"/>
          <w:bCs/>
          <w:color w:val="0D0D0D"/>
          <w:kern w:val="0"/>
          <w:sz w:val="30"/>
          <w:szCs w:val="30"/>
        </w:rPr>
        <w:t>自律</w:t>
      </w:r>
      <w:r w:rsidRPr="00E82550">
        <w:rPr>
          <w:rFonts w:ascii="仿宋_GB2312" w:eastAsia="仿宋_GB2312" w:hAnsi="宋体" w:hint="eastAsia"/>
          <w:bCs/>
          <w:color w:val="0D0D0D"/>
          <w:kern w:val="0"/>
          <w:sz w:val="30"/>
          <w:szCs w:val="30"/>
        </w:rPr>
        <w:t>监管</w:t>
      </w:r>
      <w:r>
        <w:rPr>
          <w:rFonts w:ascii="仿宋_GB2312" w:eastAsia="仿宋_GB2312" w:hAnsi="宋体" w:hint="eastAsia"/>
          <w:bCs/>
          <w:color w:val="0D0D0D"/>
          <w:kern w:val="0"/>
          <w:sz w:val="30"/>
          <w:szCs w:val="30"/>
        </w:rPr>
        <w:t>及纪律处分</w:t>
      </w:r>
      <w:r w:rsidRPr="00E82550">
        <w:rPr>
          <w:rFonts w:ascii="仿宋_GB2312" w:eastAsia="仿宋_GB2312" w:hAnsi="宋体" w:hint="eastAsia"/>
          <w:bCs/>
          <w:color w:val="0D0D0D"/>
          <w:kern w:val="0"/>
          <w:sz w:val="30"/>
          <w:szCs w:val="30"/>
        </w:rPr>
        <w:t>措施</w:t>
      </w:r>
      <w:r>
        <w:rPr>
          <w:rFonts w:ascii="仿宋_GB2312" w:eastAsia="仿宋_GB2312" w:hAnsi="宋体" w:hint="eastAsia"/>
          <w:bCs/>
          <w:color w:val="0D0D0D"/>
          <w:kern w:val="0"/>
          <w:sz w:val="30"/>
          <w:szCs w:val="30"/>
        </w:rPr>
        <w:t>。</w:t>
      </w:r>
      <w:r w:rsidRPr="00E82550">
        <w:rPr>
          <w:rFonts w:ascii="仿宋_GB2312" w:eastAsia="仿宋_GB2312" w:hAnsi="宋体" w:hint="eastAsia"/>
          <w:bCs/>
          <w:color w:val="0D0D0D"/>
          <w:kern w:val="0"/>
          <w:sz w:val="30"/>
          <w:szCs w:val="30"/>
        </w:rPr>
        <w:t>情节严重的，本所可以上报相关主管机关查处</w:t>
      </w:r>
      <w:r>
        <w:rPr>
          <w:rFonts w:ascii="仿宋_GB2312" w:eastAsia="仿宋_GB2312" w:hAnsi="宋体" w:hint="eastAsia"/>
          <w:bCs/>
          <w:color w:val="0D0D0D"/>
          <w:kern w:val="0"/>
          <w:sz w:val="30"/>
          <w:szCs w:val="30"/>
        </w:rPr>
        <w:t>，追究相关当事人的法律责任</w:t>
      </w:r>
      <w:r w:rsidRPr="00E82550">
        <w:rPr>
          <w:rFonts w:ascii="仿宋_GB2312" w:eastAsia="仿宋_GB2312" w:hAnsi="宋体" w:hint="eastAsia"/>
          <w:bCs/>
          <w:color w:val="0D0D0D"/>
          <w:kern w:val="0"/>
          <w:sz w:val="30"/>
          <w:szCs w:val="30"/>
        </w:rPr>
        <w:t>。</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证券经营机构和资产管理机构</w:t>
      </w:r>
      <w:r w:rsidRPr="00650C0B">
        <w:rPr>
          <w:rFonts w:ascii="仿宋_GB2312" w:eastAsia="仿宋_GB2312" w:hAnsi="宋体"/>
          <w:bCs/>
          <w:color w:val="0D0D0D"/>
          <w:kern w:val="0"/>
          <w:sz w:val="30"/>
          <w:szCs w:val="30"/>
        </w:rPr>
        <w:t>未按照投资者适当性管理的要求确定具有风险识别和风险承受能力的合格投资者的，本所可以视情节轻重采取相应的自律监管</w:t>
      </w:r>
      <w:r>
        <w:rPr>
          <w:rFonts w:ascii="仿宋_GB2312" w:eastAsia="仿宋_GB2312" w:hAnsi="宋体" w:hint="eastAsia"/>
          <w:bCs/>
          <w:color w:val="0D0D0D"/>
          <w:kern w:val="0"/>
          <w:sz w:val="30"/>
          <w:szCs w:val="30"/>
        </w:rPr>
        <w:t>及纪律处分措施</w:t>
      </w:r>
      <w:r w:rsidRPr="00650C0B">
        <w:rPr>
          <w:rFonts w:ascii="仿宋_GB2312" w:eastAsia="仿宋_GB2312" w:hAnsi="宋体"/>
          <w:bCs/>
          <w:color w:val="0D0D0D"/>
          <w:kern w:val="0"/>
          <w:sz w:val="30"/>
          <w:szCs w:val="30"/>
        </w:rPr>
        <w:t>。</w:t>
      </w:r>
    </w:p>
    <w:p w:rsidR="00EB27AF" w:rsidRPr="006A216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资产支持证券转让双方转让行为违反本指引、本所其他相关规定的，本所可以责令其改正，并视情节轻重采取相应的监管措施。</w:t>
      </w:r>
      <w:r>
        <w:rPr>
          <w:rFonts w:ascii="仿宋_GB2312" w:eastAsia="仿宋_GB2312" w:hint="eastAsia"/>
          <w:color w:val="000000"/>
          <w:sz w:val="30"/>
          <w:szCs w:val="30"/>
        </w:rPr>
        <w:t>原始权益人</w:t>
      </w:r>
      <w:r w:rsidRPr="006B4EB4">
        <w:rPr>
          <w:rFonts w:ascii="仿宋_GB2312" w:eastAsia="仿宋_GB2312" w:hint="eastAsia"/>
          <w:color w:val="000000"/>
          <w:sz w:val="30"/>
          <w:szCs w:val="30"/>
        </w:rPr>
        <w:t>、</w:t>
      </w:r>
      <w:r>
        <w:rPr>
          <w:rFonts w:ascii="仿宋_GB2312" w:eastAsia="仿宋_GB2312" w:hint="eastAsia"/>
          <w:color w:val="000000"/>
          <w:sz w:val="30"/>
          <w:szCs w:val="30"/>
        </w:rPr>
        <w:t>证券经营机构</w:t>
      </w:r>
      <w:r w:rsidRPr="006B4EB4">
        <w:rPr>
          <w:rFonts w:ascii="仿宋_GB2312" w:eastAsia="仿宋_GB2312" w:hint="eastAsia"/>
          <w:color w:val="000000"/>
          <w:sz w:val="30"/>
          <w:szCs w:val="30"/>
        </w:rPr>
        <w:t>、</w:t>
      </w:r>
      <w:r>
        <w:rPr>
          <w:rFonts w:ascii="仿宋_GB2312" w:eastAsia="仿宋_GB2312" w:hint="eastAsia"/>
          <w:color w:val="000000"/>
          <w:sz w:val="30"/>
          <w:szCs w:val="30"/>
        </w:rPr>
        <w:t>资产管理机构、</w:t>
      </w:r>
      <w:r w:rsidRPr="006B4EB4">
        <w:rPr>
          <w:rFonts w:ascii="仿宋_GB2312" w:eastAsia="仿宋_GB2312" w:hint="eastAsia"/>
          <w:color w:val="000000"/>
          <w:sz w:val="30"/>
          <w:szCs w:val="30"/>
        </w:rPr>
        <w:t>转让双方及相关人员涉嫌操纵市场、内幕交易等违法犯罪行为的，本所</w:t>
      </w:r>
      <w:r w:rsidRPr="006B4EB4">
        <w:rPr>
          <w:rFonts w:ascii="仿宋_GB2312" w:eastAsia="仿宋_GB2312" w:hint="eastAsia"/>
          <w:color w:val="000000"/>
          <w:sz w:val="30"/>
        </w:rPr>
        <w:t>上报相关主管机关查处，追究相关当事人的法律责任。</w:t>
      </w:r>
    </w:p>
    <w:p w:rsidR="00EB27AF" w:rsidRPr="00762C65"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cs="仿宋_GB2312" w:hint="eastAsia"/>
          <w:color w:val="000000"/>
          <w:sz w:val="30"/>
          <w:szCs w:val="30"/>
        </w:rPr>
        <w:lastRenderedPageBreak/>
        <w:t>管理人、证券服务机构及相关人员</w:t>
      </w:r>
      <w:r w:rsidRPr="006B4EB4">
        <w:rPr>
          <w:rFonts w:ascii="仿宋_GB2312" w:eastAsia="仿宋_GB2312" w:cs="仿宋_GB2312" w:hint="eastAsia"/>
          <w:color w:val="000000"/>
          <w:sz w:val="30"/>
          <w:szCs w:val="30"/>
        </w:rPr>
        <w:t>所提交的</w:t>
      </w:r>
      <w:r>
        <w:rPr>
          <w:rFonts w:ascii="仿宋_GB2312" w:eastAsia="仿宋_GB2312" w:cs="仿宋_GB2312" w:hint="eastAsia"/>
          <w:color w:val="000000"/>
          <w:sz w:val="30"/>
          <w:szCs w:val="30"/>
        </w:rPr>
        <w:t>挂牌转让申请</w:t>
      </w:r>
      <w:r w:rsidRPr="006B4EB4">
        <w:rPr>
          <w:rFonts w:ascii="仿宋_GB2312" w:eastAsia="仿宋_GB2312" w:cs="仿宋_GB2312" w:hint="eastAsia"/>
          <w:color w:val="000000"/>
          <w:sz w:val="30"/>
          <w:szCs w:val="30"/>
        </w:rPr>
        <w:t>材料不能做到真实、准确、完整、专业</w:t>
      </w:r>
      <w:r>
        <w:rPr>
          <w:rFonts w:ascii="仿宋_GB2312" w:eastAsia="仿宋_GB2312" w:cs="仿宋_GB2312" w:hint="eastAsia"/>
          <w:color w:val="000000"/>
          <w:sz w:val="30"/>
          <w:szCs w:val="30"/>
        </w:rPr>
        <w:t>的</w:t>
      </w:r>
      <w:r w:rsidRPr="006B4EB4">
        <w:rPr>
          <w:rFonts w:ascii="仿宋_GB2312" w:eastAsia="仿宋_GB2312" w:cs="仿宋_GB2312" w:hint="eastAsia"/>
          <w:color w:val="000000"/>
          <w:sz w:val="30"/>
          <w:szCs w:val="30"/>
        </w:rPr>
        <w:t>，本所可</w:t>
      </w:r>
      <w:r>
        <w:rPr>
          <w:rFonts w:ascii="仿宋_GB2312" w:eastAsia="仿宋_GB2312" w:cs="仿宋_GB2312" w:hint="eastAsia"/>
          <w:color w:val="000000"/>
          <w:sz w:val="30"/>
          <w:szCs w:val="30"/>
        </w:rPr>
        <w:t>视情节轻重</w:t>
      </w:r>
      <w:r w:rsidRPr="006B4EB4">
        <w:rPr>
          <w:rFonts w:ascii="仿宋_GB2312" w:eastAsia="仿宋_GB2312" w:cs="仿宋_GB2312" w:hint="eastAsia"/>
          <w:color w:val="000000"/>
          <w:sz w:val="30"/>
          <w:szCs w:val="30"/>
        </w:rPr>
        <w:t>暂停接受相关</w:t>
      </w:r>
      <w:r>
        <w:rPr>
          <w:rFonts w:ascii="仿宋_GB2312" w:eastAsia="仿宋_GB2312" w:cs="仿宋_GB2312" w:hint="eastAsia"/>
          <w:color w:val="000000"/>
          <w:sz w:val="30"/>
          <w:szCs w:val="30"/>
        </w:rPr>
        <w:t>挂牌转让申请</w:t>
      </w:r>
      <w:r w:rsidRPr="006B4EB4">
        <w:rPr>
          <w:rFonts w:ascii="仿宋_GB2312" w:eastAsia="仿宋_GB2312" w:cs="仿宋_GB2312" w:hint="eastAsia"/>
          <w:color w:val="000000"/>
          <w:sz w:val="30"/>
          <w:szCs w:val="30"/>
        </w:rPr>
        <w:t>材料。</w:t>
      </w:r>
    </w:p>
    <w:p w:rsidR="00EB27AF" w:rsidRPr="003646E1" w:rsidRDefault="00EB27AF" w:rsidP="00EB27AF">
      <w:pPr>
        <w:adjustRightInd w:val="0"/>
        <w:snapToGrid w:val="0"/>
        <w:spacing w:line="560" w:lineRule="exact"/>
        <w:jc w:val="center"/>
        <w:rPr>
          <w:rFonts w:ascii="黑体" w:eastAsia="黑体" w:hAnsi="黑体"/>
          <w:b/>
          <w:bCs/>
          <w:color w:val="0D0D0D"/>
          <w:kern w:val="0"/>
          <w:sz w:val="30"/>
          <w:szCs w:val="30"/>
        </w:rPr>
      </w:pPr>
      <w:r w:rsidRPr="003646E1">
        <w:rPr>
          <w:rFonts w:ascii="黑体" w:eastAsia="黑体" w:hAnsi="黑体" w:hint="eastAsia"/>
          <w:b/>
          <w:bCs/>
          <w:color w:val="0D0D0D"/>
          <w:kern w:val="0"/>
          <w:sz w:val="30"/>
          <w:szCs w:val="30"/>
        </w:rPr>
        <w:t>第八章 附则</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sidRPr="00E82550">
        <w:rPr>
          <w:rFonts w:ascii="仿宋_GB2312" w:eastAsia="仿宋_GB2312" w:hAnsi="宋体" w:hint="eastAsia"/>
          <w:bCs/>
          <w:color w:val="0D0D0D"/>
          <w:kern w:val="0"/>
          <w:sz w:val="30"/>
          <w:szCs w:val="30"/>
        </w:rPr>
        <w:t>本所对资产支持证券挂牌暂免收费</w:t>
      </w:r>
      <w:r>
        <w:rPr>
          <w:rFonts w:ascii="仿宋_GB2312" w:eastAsia="仿宋_GB2312" w:hAnsi="宋体" w:hint="eastAsia"/>
          <w:bCs/>
          <w:color w:val="0D0D0D"/>
          <w:kern w:val="0"/>
          <w:sz w:val="30"/>
          <w:szCs w:val="30"/>
        </w:rPr>
        <w:t>；</w:t>
      </w:r>
      <w:r w:rsidRPr="00E82550">
        <w:rPr>
          <w:rFonts w:ascii="仿宋_GB2312" w:eastAsia="仿宋_GB2312" w:hAnsi="宋体" w:hint="eastAsia"/>
          <w:bCs/>
          <w:color w:val="0D0D0D"/>
          <w:kern w:val="0"/>
          <w:sz w:val="30"/>
          <w:szCs w:val="30"/>
        </w:rPr>
        <w:t>对资产支持证券的</w:t>
      </w:r>
      <w:r>
        <w:rPr>
          <w:rFonts w:ascii="仿宋_GB2312" w:eastAsia="仿宋_GB2312" w:hAnsi="宋体" w:hint="eastAsia"/>
          <w:bCs/>
          <w:color w:val="0D0D0D"/>
          <w:kern w:val="0"/>
          <w:sz w:val="30"/>
          <w:szCs w:val="30"/>
        </w:rPr>
        <w:t>转让收取经手费，收费标准为：按成交金额的百万分之一，双向收取，最高不超过100元/笔。</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资产管理机构通过其他特殊目的载体开展资产证券化业务，期货公司、证券金融公司和中国证监会负责监管的其他公司，以及商业银行、保险公司、信托公司等金融机构开展资产证券化业务，并申请资产支持证券在本所挂牌转让的，参照适用本指引。本所另有规定的，从其规定。</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Pr>
          <w:rFonts w:ascii="仿宋_GB2312" w:eastAsia="仿宋_GB2312" w:hAnsi="宋体" w:hint="eastAsia"/>
          <w:bCs/>
          <w:color w:val="0D0D0D"/>
          <w:kern w:val="0"/>
          <w:sz w:val="30"/>
          <w:szCs w:val="30"/>
        </w:rPr>
        <w:t>本指引</w:t>
      </w:r>
      <w:r w:rsidRPr="00E82550">
        <w:rPr>
          <w:rFonts w:ascii="仿宋_GB2312" w:eastAsia="仿宋_GB2312" w:hAnsi="宋体" w:hint="eastAsia"/>
          <w:bCs/>
          <w:color w:val="0D0D0D"/>
          <w:kern w:val="0"/>
          <w:sz w:val="30"/>
          <w:szCs w:val="30"/>
        </w:rPr>
        <w:t>自发布之日起施行</w:t>
      </w:r>
      <w:r>
        <w:rPr>
          <w:rFonts w:ascii="仿宋_GB2312" w:eastAsia="仿宋_GB2312" w:hAnsi="宋体" w:hint="eastAsia"/>
          <w:bCs/>
          <w:color w:val="0D0D0D"/>
          <w:kern w:val="0"/>
          <w:sz w:val="30"/>
          <w:szCs w:val="30"/>
        </w:rPr>
        <w:t>。</w:t>
      </w:r>
    </w:p>
    <w:p w:rsidR="00EB27AF" w:rsidRDefault="00EB27AF" w:rsidP="00EB27AF">
      <w:pPr>
        <w:numPr>
          <w:ilvl w:val="0"/>
          <w:numId w:val="1"/>
        </w:numPr>
        <w:adjustRightInd w:val="0"/>
        <w:snapToGrid w:val="0"/>
        <w:spacing w:line="560" w:lineRule="exact"/>
        <w:ind w:left="0" w:firstLine="710"/>
        <w:jc w:val="left"/>
        <w:rPr>
          <w:rFonts w:ascii="仿宋_GB2312" w:eastAsia="仿宋_GB2312" w:hAnsi="宋体"/>
          <w:bCs/>
          <w:color w:val="0D0D0D"/>
          <w:kern w:val="0"/>
          <w:sz w:val="30"/>
          <w:szCs w:val="30"/>
        </w:rPr>
      </w:pPr>
      <w:r w:rsidRPr="00045C0A">
        <w:rPr>
          <w:rFonts w:ascii="仿宋_GB2312" w:eastAsia="仿宋_GB2312" w:hAnsi="宋体" w:hint="eastAsia"/>
          <w:bCs/>
          <w:color w:val="0D0D0D"/>
          <w:kern w:val="0"/>
          <w:sz w:val="30"/>
          <w:szCs w:val="30"/>
        </w:rPr>
        <w:t>本指引由本所负责解释。</w:t>
      </w:r>
    </w:p>
    <w:p w:rsidR="003107AC" w:rsidRPr="00EB27AF" w:rsidRDefault="003107AC" w:rsidP="00EB27AF"/>
    <w:sectPr w:rsidR="003107AC" w:rsidRPr="00EB27AF" w:rsidSect="00D374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AC" w:rsidRDefault="00D541AC" w:rsidP="00960127">
      <w:r>
        <w:separator/>
      </w:r>
    </w:p>
  </w:endnote>
  <w:endnote w:type="continuationSeparator" w:id="0">
    <w:p w:rsidR="00D541AC" w:rsidRDefault="00D541AC" w:rsidP="00960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AC" w:rsidRDefault="00D541AC" w:rsidP="00960127">
      <w:r>
        <w:separator/>
      </w:r>
    </w:p>
  </w:footnote>
  <w:footnote w:type="continuationSeparator" w:id="0">
    <w:p w:rsidR="00D541AC" w:rsidRDefault="00D541AC" w:rsidP="00960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E7F"/>
    <w:multiLevelType w:val="hybridMultilevel"/>
    <w:tmpl w:val="5330E766"/>
    <w:lvl w:ilvl="0" w:tplc="C8AE49A2">
      <w:start w:val="1"/>
      <w:numFmt w:val="japaneseCounting"/>
      <w:lvlText w:val="（%1）"/>
      <w:lvlJc w:val="left"/>
      <w:pPr>
        <w:ind w:left="2010" w:hanging="141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1DC4B35"/>
    <w:multiLevelType w:val="hybridMultilevel"/>
    <w:tmpl w:val="12EA234E"/>
    <w:lvl w:ilvl="0" w:tplc="2A7AE88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3735B0"/>
    <w:multiLevelType w:val="hybridMultilevel"/>
    <w:tmpl w:val="0E985010"/>
    <w:lvl w:ilvl="0" w:tplc="DCEE1158">
      <w:start w:val="1"/>
      <w:numFmt w:val="chineseCountingThousand"/>
      <w:lvlText w:val="第%1条"/>
      <w:lvlJc w:val="left"/>
      <w:pPr>
        <w:ind w:left="846" w:hanging="420"/>
      </w:pPr>
      <w:rPr>
        <w:rFonts w:hint="eastAsia"/>
        <w:b w:val="0"/>
        <w:lang w:val="en-US"/>
      </w:rPr>
    </w:lvl>
    <w:lvl w:ilvl="1" w:tplc="04090019" w:tentative="1">
      <w:start w:val="1"/>
      <w:numFmt w:val="lowerLetter"/>
      <w:lvlText w:val="%2)"/>
      <w:lvlJc w:val="left"/>
      <w:pPr>
        <w:ind w:left="-210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1264" w:hanging="420"/>
      </w:pPr>
    </w:lvl>
    <w:lvl w:ilvl="4" w:tplc="04090019" w:tentative="1">
      <w:start w:val="1"/>
      <w:numFmt w:val="lowerLetter"/>
      <w:lvlText w:val="%5)"/>
      <w:lvlJc w:val="left"/>
      <w:pPr>
        <w:ind w:left="-844" w:hanging="420"/>
      </w:pPr>
    </w:lvl>
    <w:lvl w:ilvl="5" w:tplc="0409001B" w:tentative="1">
      <w:start w:val="1"/>
      <w:numFmt w:val="lowerRoman"/>
      <w:lvlText w:val="%6."/>
      <w:lvlJc w:val="right"/>
      <w:pPr>
        <w:ind w:left="-424" w:hanging="420"/>
      </w:pPr>
    </w:lvl>
    <w:lvl w:ilvl="6" w:tplc="0409000F" w:tentative="1">
      <w:start w:val="1"/>
      <w:numFmt w:val="decimal"/>
      <w:lvlText w:val="%7."/>
      <w:lvlJc w:val="left"/>
      <w:pPr>
        <w:ind w:left="-4" w:hanging="420"/>
      </w:pPr>
    </w:lvl>
    <w:lvl w:ilvl="7" w:tplc="04090019" w:tentative="1">
      <w:start w:val="1"/>
      <w:numFmt w:val="lowerLetter"/>
      <w:lvlText w:val="%8)"/>
      <w:lvlJc w:val="left"/>
      <w:pPr>
        <w:ind w:left="416" w:hanging="420"/>
      </w:pPr>
    </w:lvl>
    <w:lvl w:ilvl="8" w:tplc="0409001B" w:tentative="1">
      <w:start w:val="1"/>
      <w:numFmt w:val="lowerRoman"/>
      <w:lvlText w:val="%9."/>
      <w:lvlJc w:val="right"/>
      <w:pPr>
        <w:ind w:left="836" w:hanging="420"/>
      </w:pPr>
    </w:lvl>
  </w:abstractNum>
  <w:abstractNum w:abstractNumId="3">
    <w:nsid w:val="3EF27DCF"/>
    <w:multiLevelType w:val="hybridMultilevel"/>
    <w:tmpl w:val="4488A4B0"/>
    <w:lvl w:ilvl="0" w:tplc="A4586D24">
      <w:start w:val="1"/>
      <w:numFmt w:val="japaneseCounting"/>
      <w:lvlText w:val="（%1）"/>
      <w:lvlJc w:val="left"/>
      <w:pPr>
        <w:ind w:left="1680" w:hanging="1080"/>
      </w:pPr>
      <w:rPr>
        <w:rFonts w:ascii="仿宋_GB2312" w:eastAsia="仿宋_GB2312" w:hAnsi="宋体" w:cs="Times New Roman"/>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4383158"/>
    <w:multiLevelType w:val="hybridMultilevel"/>
    <w:tmpl w:val="531601BC"/>
    <w:lvl w:ilvl="0" w:tplc="E64E0000">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71ED61C6"/>
    <w:multiLevelType w:val="hybridMultilevel"/>
    <w:tmpl w:val="C45ECDB2"/>
    <w:lvl w:ilvl="0" w:tplc="16EA5AA4">
      <w:start w:val="1"/>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127"/>
    <w:rsid w:val="000C1F36"/>
    <w:rsid w:val="003107AC"/>
    <w:rsid w:val="00960127"/>
    <w:rsid w:val="00960BD4"/>
    <w:rsid w:val="00D374C9"/>
    <w:rsid w:val="00D541AC"/>
    <w:rsid w:val="00EB2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127"/>
    <w:rPr>
      <w:sz w:val="18"/>
      <w:szCs w:val="18"/>
    </w:rPr>
  </w:style>
  <w:style w:type="paragraph" w:styleId="a4">
    <w:name w:val="footer"/>
    <w:basedOn w:val="a"/>
    <w:link w:val="Char0"/>
    <w:uiPriority w:val="99"/>
    <w:semiHidden/>
    <w:unhideWhenUsed/>
    <w:rsid w:val="009601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1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708</Words>
  <Characters>4041</Characters>
  <Application>Microsoft Office Word</Application>
  <DocSecurity>4</DocSecurity>
  <Lines>33</Lines>
  <Paragraphs>9</Paragraphs>
  <ScaleCrop>false</ScaleCrop>
  <Company>Hewlett-Packard Company</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朱峰</cp:lastModifiedBy>
  <cp:revision>2</cp:revision>
  <dcterms:created xsi:type="dcterms:W3CDTF">2021-07-01T07:58:00Z</dcterms:created>
  <dcterms:modified xsi:type="dcterms:W3CDTF">2021-07-01T07:58:00Z</dcterms:modified>
</cp:coreProperties>
</file>